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39B" w:rsidRPr="00A0339B" w:rsidRDefault="00A0339B" w:rsidP="00FB68F6">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Утверждаю</w:t>
      </w:r>
    </w:p>
    <w:p w:rsidR="00A0339B" w:rsidRPr="00A0339B" w:rsidRDefault="00A0339B" w:rsidP="00FB68F6">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заместитель Министра образования</w:t>
      </w:r>
    </w:p>
    <w:p w:rsidR="00A0339B" w:rsidRPr="00A0339B" w:rsidRDefault="00A0339B" w:rsidP="00FB68F6">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и науки Российской Федерации</w:t>
      </w:r>
    </w:p>
    <w:p w:rsidR="00A0339B" w:rsidRPr="00A0339B" w:rsidRDefault="00A0339B" w:rsidP="00FB68F6">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И.В.КУЗНЕЦОВА</w:t>
      </w:r>
    </w:p>
    <w:p w:rsidR="00A0339B" w:rsidRPr="00A0339B" w:rsidRDefault="00A0339B" w:rsidP="00FB68F6">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 30.03.2018 г. N ИК-139/05вн</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МЕТОДИКА</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РАСЧЕТА ПОКАЗАТЕЛЕЙ МОНИТОРИНГА ЭФФЕКТИВНОСТИ</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ОБРАЗОВАТЕЛЬНЫХ ОРГАНИЗАЦИЙ ВЫСШЕГО ОБРАЗОВАНИЯ 2018 ГОДА</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(НА ОСНОВЕ ДАННЫХ ФОРМЫ N 1-МОНИТОРИНГ ЗА 2017 ГОД)</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Целевые показатели эффективности деятельности образовательных организаций высшего образования</w:t>
      </w:r>
    </w:p>
    <w:tbl>
      <w:tblPr>
        <w:tblW w:w="15158" w:type="dxa"/>
        <w:shd w:val="clear" w:color="auto" w:fill="FFFFFF"/>
        <w:tblLayout w:type="fixed"/>
        <w:tblCellMar>
          <w:left w:w="0" w:type="dxa"/>
          <w:right w:w="0" w:type="dxa"/>
        </w:tblCellMar>
        <w:tblLook w:val="04A0" w:firstRow="1" w:lastRow="0" w:firstColumn="1" w:lastColumn="0" w:noHBand="0" w:noVBand="1"/>
      </w:tblPr>
      <w:tblGrid>
        <w:gridCol w:w="3818"/>
        <w:gridCol w:w="1842"/>
        <w:gridCol w:w="30"/>
        <w:gridCol w:w="2566"/>
        <w:gridCol w:w="20"/>
        <w:gridCol w:w="6882"/>
      </w:tblGrid>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Показатели</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Единица измерения</w:t>
            </w: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Специфика деятельности</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Методика расчета</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А</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Б</w:t>
            </w: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В</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Г</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E.1. Образовательная деятельность</w:t>
            </w:r>
          </w:p>
        </w:tc>
      </w:tr>
      <w:tr w:rsidR="00FB68F6" w:rsidRPr="00FB68F6" w:rsidTr="00FB68F6">
        <w:tc>
          <w:tcPr>
            <w:tcW w:w="3818"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E.1.1. Средний балл единого государственного экзамена (далее - ЕГЭ) студентов, принятых по результатам ЕГЭ на обучение по очной форме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за счет средств соответствующих бюджетов бюджетной системы Российской Федерации и с оплатой стоимости затрат на обучение физическими и юридическими лицами</w:t>
            </w:r>
          </w:p>
        </w:tc>
        <w:tc>
          <w:tcPr>
            <w:tcW w:w="184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балл</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2545242A" wp14:editId="68892923">
                  <wp:extent cx="118745" cy="118745"/>
                  <wp:effectExtent l="0" t="0" r="0" b="0"/>
                  <wp:docPr id="34" name="Рисунок 34" descr="https://rulaws.ru/static/Images/295007_000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laws.ru/static/Images/295007_00000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Без специфики</w:t>
            </w:r>
          </w:p>
        </w:tc>
        <w:tc>
          <w:tcPr>
            <w:tcW w:w="688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суммы средних баллов ЕГЭ студентов, принятых на обучение по очной форме обучения по результатам ЕГЭ или по результатам ЕГЭ</w:t>
            </w:r>
            <w:bookmarkStart w:id="0" w:name="_GoBack"/>
            <w:bookmarkEnd w:id="0"/>
            <w:r w:rsidRPr="00A0339B">
              <w:rPr>
                <w:rFonts w:ascii="Times New Roman" w:eastAsia="Times New Roman" w:hAnsi="Times New Roman" w:cs="Times New Roman"/>
                <w:sz w:val="24"/>
                <w:szCs w:val="24"/>
                <w:lang w:eastAsia="ru-RU"/>
              </w:rPr>
              <w:t xml:space="preserve"> и дополнительных испытаний за исключением лиц, принятых по результатам целевого приема, по всем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умноженных на численность таких студентов, обучающихся по соответствующим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к суммарной численности таких студентов. Результаты студентов, имеющих право на прием без вступительных испытаний, признаются как наивысшие результаты ЕГЭ (100 баллов) по соответствующим общеобразовательным предметам.</w:t>
            </w: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70FC014C" wp14:editId="0ECABBCB">
                  <wp:extent cx="118745" cy="118745"/>
                  <wp:effectExtent l="0" t="0" r="0" b="0"/>
                  <wp:docPr id="33" name="Рисунок 33" descr="https://rulaws.ru/static/Images/295007_0000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laws.ru/static/Images/295007_0000000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Медицинская</w:t>
            </w:r>
          </w:p>
        </w:tc>
        <w:tc>
          <w:tcPr>
            <w:tcW w:w="688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129325E7" wp14:editId="3221C983">
                  <wp:extent cx="118745" cy="118745"/>
                  <wp:effectExtent l="0" t="0" r="0" b="0"/>
                  <wp:docPr id="32" name="Рисунок 32" descr="https://rulaws.ru/static/Images/295007_000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laws.ru/static/Images/295007_0000000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Транспортная</w:t>
            </w:r>
          </w:p>
        </w:tc>
        <w:tc>
          <w:tcPr>
            <w:tcW w:w="688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53C8214" wp14:editId="0D570ACB">
                  <wp:extent cx="118745" cy="118745"/>
                  <wp:effectExtent l="0" t="0" r="0" b="0"/>
                  <wp:docPr id="31" name="Рисунок 31" descr="https://rulaws.ru/static/Images/295007_0000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laws.ru/static/Images/295007_000000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Сельскохозяйственная</w:t>
            </w:r>
          </w:p>
        </w:tc>
        <w:tc>
          <w:tcPr>
            <w:tcW w:w="688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FB68F6" w:rsidTr="00FB68F6">
        <w:tc>
          <w:tcPr>
            <w:tcW w:w="3818"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E.1.2. Средний балл студентов, принятых по результатам ЕГЭ и результатам испытаний профессиональной направленности/творческих испытаний (проводимых по 100-</w:t>
            </w:r>
            <w:r w:rsidRPr="00A0339B">
              <w:rPr>
                <w:rFonts w:ascii="Times New Roman" w:eastAsia="Times New Roman" w:hAnsi="Times New Roman" w:cs="Times New Roman"/>
                <w:sz w:val="24"/>
                <w:szCs w:val="24"/>
                <w:lang w:eastAsia="ru-RU"/>
              </w:rPr>
              <w:lastRenderedPageBreak/>
              <w:t xml:space="preserve">балльной шкале) на обучение по очной форме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за счет средств соответствующих бюджетов бюджетной системы Российской Федерации и с оплатой стоимости затрат на обучение физическими и юридическими лицами</w:t>
            </w:r>
          </w:p>
        </w:tc>
        <w:tc>
          <w:tcPr>
            <w:tcW w:w="184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балл</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F45B2D6" wp14:editId="0FEA9236">
                  <wp:extent cx="118745" cy="106680"/>
                  <wp:effectExtent l="0" t="0" r="0" b="7620"/>
                  <wp:docPr id="30" name="Рисунок 30" descr="https://rulaws.ru/static/Images/295007_00000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laws.ru/static/Images/295007_000000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5" cy="106680"/>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Спортивная</w:t>
            </w:r>
          </w:p>
        </w:tc>
        <w:tc>
          <w:tcPr>
            <w:tcW w:w="688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суммы средних баллов ЕГЭ (с учетом результатов испытаний профессиональной направленности/творческих испытаний (проводимых по 100-балльной шкале)) студентов, принятых на обучение по очной форме обучения по результатам ЕГЭ или по результатам ЕГЭ и дополнительных испытаний за исключением лиц, принятых по результатам целевого приема, по </w:t>
            </w:r>
            <w:r w:rsidRPr="00A0339B">
              <w:rPr>
                <w:rFonts w:ascii="Times New Roman" w:eastAsia="Times New Roman" w:hAnsi="Times New Roman" w:cs="Times New Roman"/>
                <w:sz w:val="24"/>
                <w:szCs w:val="24"/>
                <w:lang w:eastAsia="ru-RU"/>
              </w:rPr>
              <w:lastRenderedPageBreak/>
              <w:t xml:space="preserve">всем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умноженных на численность таких студентов, обучающихся по соответствующим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к суммарной численности таких студентов. Результаты студентов, имеющих право на прием без вступительных испытаний, признаются как наивысшие результаты ЕГЭ (100 баллов) по соответствующим общеобразовательным предметам.</w:t>
            </w: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34F7EC9F" wp14:editId="263D62C9">
                  <wp:extent cx="118745" cy="118745"/>
                  <wp:effectExtent l="0" t="0" r="0" b="0"/>
                  <wp:docPr id="29" name="Рисунок 29" descr="https://rulaws.ru/static/Images/295007_00000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ulaws.ru/static/Images/295007_0000000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Творческая</w:t>
            </w:r>
          </w:p>
        </w:tc>
        <w:tc>
          <w:tcPr>
            <w:tcW w:w="688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E.2. Научно-исследовательская деятельность</w:t>
            </w:r>
          </w:p>
        </w:tc>
      </w:tr>
      <w:tr w:rsidR="00FB68F6" w:rsidRPr="00FB68F6" w:rsidTr="00FB68F6">
        <w:tc>
          <w:tcPr>
            <w:tcW w:w="3818"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E.2.1. Объем научно-исследовательских и опытно-конструкторских работ (далее - НИОКР) в расчете на одного научно-педагогического работника (далее - НПР)</w:t>
            </w:r>
          </w:p>
        </w:tc>
        <w:tc>
          <w:tcPr>
            <w:tcW w:w="184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1C037663" wp14:editId="4BE184BD">
                  <wp:extent cx="118745" cy="118745"/>
                  <wp:effectExtent l="0" t="0" r="0" b="0"/>
                  <wp:docPr id="28" name="Рисунок 28" descr="https://rulaws.ru/static/Images/295007_00000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laws.ru/static/Images/295007_0000000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Без специфики</w:t>
            </w:r>
          </w:p>
        </w:tc>
        <w:tc>
          <w:tcPr>
            <w:tcW w:w="6882"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общего объема средств, поступивших за отчетный год от выполнения НИОКР к численности НПР.</w:t>
            </w: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25AE1928" wp14:editId="2307ECD9">
                  <wp:extent cx="118745" cy="118745"/>
                  <wp:effectExtent l="0" t="0" r="0" b="0"/>
                  <wp:docPr id="27" name="Рисунок 27" descr="https://rulaws.ru/static/Images/295007_00000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ulaws.ru/static/Images/295007_0000000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Медицинская</w:t>
            </w:r>
          </w:p>
        </w:tc>
        <w:tc>
          <w:tcPr>
            <w:tcW w:w="688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02160818" wp14:editId="22412A3B">
                  <wp:extent cx="118745" cy="118745"/>
                  <wp:effectExtent l="0" t="0" r="0" b="0"/>
                  <wp:docPr id="26" name="Рисунок 26" descr="https://rulaws.ru/static/Images/295007_00000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laws.ru/static/Images/295007_0000000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Транспортная</w:t>
            </w:r>
          </w:p>
        </w:tc>
        <w:tc>
          <w:tcPr>
            <w:tcW w:w="688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38FDE50A" wp14:editId="7F4885AC">
                  <wp:extent cx="118745" cy="118745"/>
                  <wp:effectExtent l="0" t="0" r="0" b="0"/>
                  <wp:docPr id="25" name="Рисунок 25" descr="https://rulaws.ru/static/Images/295007_00000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ulaws.ru/static/Images/295007_000000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Сельскохозяйственная</w:t>
            </w:r>
          </w:p>
        </w:tc>
        <w:tc>
          <w:tcPr>
            <w:tcW w:w="6882" w:type="dxa"/>
            <w:vMerge w:val="restart"/>
            <w:tcBorders>
              <w:top w:val="nil"/>
              <w:left w:val="single" w:sz="8" w:space="0" w:color="auto"/>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Численность НПР (как общая численность, так и численность всех возможных подмножеств) здесь и далее рассчитывается как приведенная к числу ставок численность работников профессорско-преподавательского состава и научных работников на 01 октября отчетного года, включая работающих на условиях штатного совместительства (внешних совместителей), без работающих по договорам гражданско-правового характера.</w:t>
            </w:r>
          </w:p>
        </w:tc>
      </w:tr>
      <w:tr w:rsidR="00FB68F6" w:rsidRPr="00FB68F6" w:rsidTr="00FB68F6">
        <w:tc>
          <w:tcPr>
            <w:tcW w:w="3818"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1842" w:type="dxa"/>
            <w:vMerge/>
            <w:tcBorders>
              <w:top w:val="single" w:sz="8" w:space="0" w:color="auto"/>
              <w:left w:val="single" w:sz="8" w:space="0" w:color="auto"/>
              <w:bottom w:val="single" w:sz="8" w:space="0" w:color="auto"/>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1C3D1DE9" wp14:editId="6FB12206">
                  <wp:extent cx="118745" cy="106680"/>
                  <wp:effectExtent l="0" t="0" r="0" b="7620"/>
                  <wp:docPr id="24" name="Рисунок 24" descr="https://rulaws.ru/static/Images/295007_0000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ulaws.ru/static/Images/295007_000000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5" cy="106680"/>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Спортивная</w:t>
            </w:r>
          </w:p>
        </w:tc>
        <w:tc>
          <w:tcPr>
            <w:tcW w:w="6882" w:type="dxa"/>
            <w:vMerge/>
            <w:tcBorders>
              <w:top w:val="nil"/>
              <w:left w:val="single" w:sz="8" w:space="0" w:color="auto"/>
              <w:bottom w:val="nil"/>
              <w:right w:val="single" w:sz="8" w:space="0" w:color="auto"/>
            </w:tcBorders>
            <w:shd w:val="clear" w:color="auto" w:fill="FFFFFF"/>
            <w:tcMar>
              <w:top w:w="100" w:type="dxa"/>
              <w:left w:w="60" w:type="dxa"/>
              <w:bottom w:w="100" w:type="dxa"/>
              <w:right w:w="60" w:type="dxa"/>
            </w:tcMar>
            <w:hideMark/>
          </w:tcPr>
          <w:p w:rsidR="00A0339B" w:rsidRPr="00A0339B" w:rsidRDefault="00A0339B" w:rsidP="00FB68F6">
            <w:pPr>
              <w:spacing w:after="0" w:line="240" w:lineRule="auto"/>
              <w:rPr>
                <w:rFonts w:ascii="Times New Roman" w:eastAsia="Times New Roman" w:hAnsi="Times New Roman" w:cs="Times New Roman"/>
                <w:sz w:val="24"/>
                <w:szCs w:val="24"/>
                <w:lang w:eastAsia="ru-RU"/>
              </w:rPr>
            </w:pP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E.2.2. Объем НИОКР и средств, направленных на творческие проекты, в расчете на одного НПР</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79732AB9" wp14:editId="523B06CC">
                  <wp:extent cx="118745" cy="118745"/>
                  <wp:effectExtent l="0" t="0" r="0" b="0"/>
                  <wp:docPr id="23" name="Рисунок 23" descr="https://rulaws.ru/static/Images/295007_000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ulaws.ru/static/Images/295007_000000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Творческая</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общего объема средств, поступивших за отчетный год от выполнения НИОКР и творческих проектов, к численности НПР</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E.3. Международная деятельность (показатель для вузов)</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E.3.1. Удельный вес численности иностранных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в общей численности студентов (приведенный контингент)</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Все</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приведенного контингента студентов - граждан иностранных государств, к приведенному контингенту студентов (кроме студентов, обучающихся на специальностях, на которые не предусмотрен прием иностранных граждан), выраженное в процентах.</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E.4. Финансово-экономическая деятельность</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E.4.1. Доходы образовательной организации из всех источников в расчете на одного НПР</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Все</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объема средств организации, поступивших за отчетный год из бюджетных и внебюджетных источников, без учета собственных средств, к численности НПР.</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E.5. Заработная плата ППС</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E.5.1. Отношение заработной платы профессорско-преподавательского состава к средней заработной плате по экономике региона</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Все</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фонда начисленной заработной платы работников профессорско-преподавательского состава, без учета работающих на условиях штатного совместительства (внешних совместителей) и по договорам гражданско-правового характера, к среднесписочной численности таких работников, деленное на 12 и деленное на соответствующую среднемесячную начисленную заработную плату наемных работников в организациях, у индивидуальных предпринимателей и физических лиц (среднемесячный доход от трудовой деятельности) в субъекте Российской Федерации, выраженное в процентах.</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E.6. Трудоустройство</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E.6.1. Удельный вес выпускников, трудоустроившихся в течение календарного года, следующего за годом выпуска, в общей численности выпускников образовательной организации обучавшихся по основным образовательным программам высшего образования.</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Все</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трудоустроившихся в течение календарного года, следующего за годом выпуска, выпускников образовательной организации высшего образования, к общей численности выпускников образовательной организации года, предшествующего отчетному, обучавшихся по очной форме обучения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программам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программам ординатуры/интернатуры и получавших образование данного уровня впервые (первое высшее образование), вне зависимости от основы обучения, за исключением продолживших обучение и (или) являющихся иностранными гражданами, выраженное в процентах.</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E.7. Контингент студентов (показатель для филиалов)</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E.7.1. Приведенный контингент студентов</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p w:rsidR="00A0339B" w:rsidRPr="00A0339B" w:rsidRDefault="00A0339B" w:rsidP="00FB68F6">
            <w:pPr>
              <w:spacing w:after="0" w:line="240" w:lineRule="auto"/>
              <w:jc w:val="center"/>
              <w:textAlignment w:val="baseline"/>
              <w:rPr>
                <w:rFonts w:ascii="Times New Roman" w:eastAsia="Times New Roman" w:hAnsi="Times New Roman" w:cs="Times New Roman"/>
                <w:sz w:val="24"/>
                <w:szCs w:val="24"/>
                <w:lang w:eastAsia="ru-RU"/>
              </w:rPr>
            </w:pPr>
          </w:p>
        </w:tc>
        <w:tc>
          <w:tcPr>
            <w:tcW w:w="2596"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Все</w:t>
            </w:r>
          </w:p>
        </w:tc>
        <w:tc>
          <w:tcPr>
            <w:tcW w:w="6902" w:type="dxa"/>
            <w:gridSpan w:val="2"/>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приведенного контингента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w:t>
            </w:r>
          </w:p>
        </w:tc>
      </w:tr>
      <w:tr w:rsidR="00FB68F6" w:rsidRPr="00A0339B" w:rsidTr="00FB68F6">
        <w:tc>
          <w:tcPr>
            <w:tcW w:w="15158" w:type="dxa"/>
            <w:gridSpan w:val="6"/>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E.8. Дополнительные показатели образовательных организаций</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E.8.1. Численность сотрудников, из числа профессорско-</w:t>
            </w:r>
            <w:r w:rsidRPr="00A0339B">
              <w:rPr>
                <w:rFonts w:ascii="Times New Roman" w:eastAsia="Times New Roman" w:hAnsi="Times New Roman" w:cs="Times New Roman"/>
                <w:sz w:val="24"/>
                <w:szCs w:val="24"/>
                <w:lang w:eastAsia="ru-RU"/>
              </w:rPr>
              <w:lastRenderedPageBreak/>
              <w:t>преподавательского состава (приведенных к доле ставки), имеющих ученые степени кандидата или доктора наук, в расчете на 100 студентов</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ед.</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3D80A93C" wp14:editId="0BE93692">
                  <wp:extent cx="118745" cy="118745"/>
                  <wp:effectExtent l="0" t="0" r="0" b="0"/>
                  <wp:docPr id="21" name="Рисунок 21" descr="https://rulaws.ru/static/Images/295007_00000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ulaws.ru/static/Images/295007_0000001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Без специфики</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приведенной к числу ставок численности работников профессорско-преподавательского состава, имеющих ученую </w:t>
            </w:r>
            <w:r w:rsidRPr="00A0339B">
              <w:rPr>
                <w:rFonts w:ascii="Times New Roman" w:eastAsia="Times New Roman" w:hAnsi="Times New Roman" w:cs="Times New Roman"/>
                <w:sz w:val="24"/>
                <w:szCs w:val="24"/>
                <w:lang w:eastAsia="ru-RU"/>
              </w:rPr>
              <w:lastRenderedPageBreak/>
              <w:t xml:space="preserve">степень доктора наук или кандидата наук, к численности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E.8.2. Доля работников (приведенных к числу ставок) из числа профессорско-преподавательского состава, имеющих государственные почетные звания, лауреатов международных и всероссийских конкурсов, лауреатов государственных премий, в численности работников ППС без работающих по договорам гражданско-правового характера</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0CDF355E" wp14:editId="6A0EFEB5">
                  <wp:extent cx="118745" cy="118745"/>
                  <wp:effectExtent l="0" t="0" r="0" b="0"/>
                  <wp:docPr id="20" name="Рисунок 20" descr="https://rulaws.ru/static/Images/295007_00000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rulaws.ru/static/Images/295007_000000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Творческая</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работников (приведенных к числу ставок) из числа профессорско-преподавательского состава, имеющих государственные почетные звания, лауреатов международных и всероссийских конкурсов, лауреатов государственных премий (на 01 октября отчетного года, без учета работающих по договорам гражданско-правового характера) к численности работников профессорско-преподавательского состава, выраженное в процентах.</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E.8.3. Доля студентов, включенных в списки кандидатов в спортивные сборные команды Российской Федерации по видам спорта, в общей численности студентов</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C4E625C" wp14:editId="46203FE2">
                  <wp:extent cx="118745" cy="106680"/>
                  <wp:effectExtent l="0" t="0" r="0" b="7620"/>
                  <wp:docPr id="19" name="Рисунок 19" descr="https://rulaws.ru/static/Images/295007_0000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rulaws.ru/static/Images/295007_000000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5" cy="106680"/>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Спортивная</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контингента студентов, включенных в списки кандидатов в спортивные сборные команды Российской Федерации по видам спорта, к численности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 выраженное в процентах.</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E.8.4. Доля работников (приведенных к числу ставок) из числа ППС в численности работников ППС без работающих по договорам гражданско-правового характера, имеющих ученую степень кандидата или доктора наук, соответствующую специальностям раздела 14.00.00 Номенклатуры специальностей научных работников</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E3FA07C" wp14:editId="49FC97A7">
                  <wp:extent cx="118745" cy="118745"/>
                  <wp:effectExtent l="0" t="0" r="0" b="0"/>
                  <wp:docPr id="18" name="Рисунок 18" descr="https://rulaws.ru/static/Images/295007_00000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rulaws.ru/static/Images/295007_0000001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Медицинская</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(приведенной к числу ставок) работников, имеющих ученую степень кандидата или доктора наук, соответствующую специальностям раздела 14.00.00 Номенклатуры специальностей научных работников, к численности ППС без работающих по договорам гражданско-правового характера, выраженное в процентах.</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E.8.5. Среднегодовой контингент обучающихся по программам повышения квалификации и профессиональной переподготовки, реализуемых на базе образовательных программ и направлений подготовки, отражающих специфику образовательной организации</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30" w:type="dxa"/>
            <w:tcBorders>
              <w:top w:val="nil"/>
              <w:left w:val="single" w:sz="8" w:space="0" w:color="auto"/>
              <w:bottom w:val="nil"/>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7A52BD01" wp14:editId="5329B950">
                  <wp:extent cx="118745" cy="118745"/>
                  <wp:effectExtent l="0" t="0" r="0" b="0"/>
                  <wp:docPr id="17" name="Рисунок 17" descr="https://rulaws.ru/static/Images/295007_00000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rulaws.ru/static/Images/295007_0000001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nil"/>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Транспортная</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нормированного контингента обучающихся по программам повышения квалификации и профессиональной переподготовки, реализуемых на базе образовательных программ и направлений подготовки, отражающих специфику образовательной организации к приведенному контингенту студентов, обучающихся по образовательным программам и направлениям подготовки, отражающим специфику образовательной организации, выраженное в процентах.</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Нормированный контингент обучающихся по программам повышения квалификации и профессиональной переподготовки рассчитывается как отношение суммы произведений количества обучающихся по программе повышения квалификации или профессиональной переподготовки и количества часов, отведенных на реализацию соответствующей программы к количеству часов предельной аудиторной нагрузки в год на одного обучающегося. Количество часов предельной аудиторной нагрузки в год на одного обучающегося принимается равным 1440.</w:t>
            </w:r>
          </w:p>
        </w:tc>
      </w:tr>
      <w:tr w:rsidR="00FB68F6" w:rsidRPr="00FB68F6" w:rsidTr="00FB68F6">
        <w:tc>
          <w:tcPr>
            <w:tcW w:w="3818"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E.8.6. Доля работников (приведенных к числу ставок) из числа ППС в численности работников ППС без работающих по договорам гражданско-правового характера, имеющих ученую степень кандидата или доктора наук, соответствующую специальностям разделов 03.00.00, 05.20.00, 06.00.00, 25.00.00 Номенклатуры специальностей научных работников</w:t>
            </w:r>
          </w:p>
        </w:tc>
        <w:tc>
          <w:tcPr>
            <w:tcW w:w="184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30" w:type="dxa"/>
            <w:tcBorders>
              <w:top w:val="nil"/>
              <w:left w:val="single" w:sz="8" w:space="0" w:color="auto"/>
              <w:bottom w:val="single" w:sz="8" w:space="0" w:color="auto"/>
              <w:right w:val="nil"/>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02B705E9" wp14:editId="426A78F0">
                  <wp:extent cx="118745" cy="118745"/>
                  <wp:effectExtent l="0" t="0" r="0" b="0"/>
                  <wp:docPr id="16" name="Рисунок 16" descr="https://rulaws.ru/static/Images/295007_00000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rulaws.ru/static/Images/295007_0000001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745" cy="118745"/>
                          </a:xfrm>
                          <a:prstGeom prst="rect">
                            <a:avLst/>
                          </a:prstGeom>
                          <a:noFill/>
                          <a:ln>
                            <a:noFill/>
                          </a:ln>
                        </pic:spPr>
                      </pic:pic>
                    </a:graphicData>
                  </a:graphic>
                </wp:inline>
              </w:drawing>
            </w:r>
          </w:p>
        </w:tc>
        <w:tc>
          <w:tcPr>
            <w:tcW w:w="2586" w:type="dxa"/>
            <w:gridSpan w:val="2"/>
            <w:tcBorders>
              <w:top w:val="nil"/>
              <w:left w:val="nil"/>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Сельскохозяйственная</w:t>
            </w:r>
          </w:p>
        </w:tc>
        <w:tc>
          <w:tcPr>
            <w:tcW w:w="6882" w:type="dxa"/>
            <w:tcBorders>
              <w:top w:val="single" w:sz="8" w:space="0" w:color="auto"/>
              <w:left w:val="single" w:sz="8" w:space="0" w:color="auto"/>
              <w:bottom w:val="single" w:sz="8" w:space="0" w:color="auto"/>
              <w:right w:val="single" w:sz="8" w:space="0" w:color="auto"/>
            </w:tcBorders>
            <w:shd w:val="clear" w:color="auto" w:fill="FFFFFF"/>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(приведенной к числу ставок) работников, имеющих ученую степень кандидата или доктора наук, соответствующую специальностям разделов 03.00.00, 05.20.00, 06.00.00, 25.00.00 Номенклатуры специальностей научных работников, к численности ППС без работающих по договорам гражданско-правового характера, выраженное в процентах.</w:t>
            </w:r>
          </w:p>
        </w:tc>
      </w:tr>
    </w:tbl>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Формулы расчета целевых показателей</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эффективности деятельности образовательных организаций</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высшего образования</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R = P + N - приведенная к ставкам численность НПР.</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S* - приведенный контингент студентов, обучающихся по программам, на которые предусмотрен прием иностранных граждан.</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S** - приведенный контингент студентов, обучающихся по программам, отражающим специфику деятельности образовательной организации.</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___________________________________________________________________________</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E6 - расчет по данным ПФР</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E7 = S</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A0339B">
        <w:rPr>
          <w:rFonts w:ascii="Times New Roman" w:eastAsia="Times New Roman" w:hAnsi="Times New Roman" w:cs="Times New Roman"/>
          <w:sz w:val="24"/>
          <w:szCs w:val="24"/>
          <w:lang w:eastAsia="ru-RU"/>
        </w:rPr>
        <w:t>св.стр</w:t>
      </w:r>
      <w:proofErr w:type="spellEnd"/>
      <w:r w:rsidRPr="00A0339B">
        <w:rPr>
          <w:rFonts w:ascii="Times New Roman" w:eastAsia="Times New Roman" w:hAnsi="Times New Roman" w:cs="Times New Roman"/>
          <w:sz w:val="24"/>
          <w:szCs w:val="24"/>
          <w:lang w:eastAsia="ru-RU"/>
        </w:rPr>
        <w:t>. - свободные (множественные) строки</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гр.[ставка] - графа таблицы, соответствующая доле ставки</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Показатели по направлениям деятельности образовательных организаций высшего образования</w:t>
      </w:r>
    </w:p>
    <w:tbl>
      <w:tblPr>
        <w:tblW w:w="14874" w:type="dxa"/>
        <w:shd w:val="clear" w:color="auto" w:fill="FFFFFF"/>
        <w:tblLayout w:type="fixed"/>
        <w:tblCellMar>
          <w:left w:w="0" w:type="dxa"/>
          <w:right w:w="0" w:type="dxa"/>
        </w:tblCellMar>
        <w:tblLook w:val="04A0" w:firstRow="1" w:lastRow="0" w:firstColumn="1" w:lastColumn="0" w:noHBand="0" w:noVBand="1"/>
      </w:tblPr>
      <w:tblGrid>
        <w:gridCol w:w="983"/>
        <w:gridCol w:w="3544"/>
        <w:gridCol w:w="1700"/>
        <w:gridCol w:w="1276"/>
        <w:gridCol w:w="7371"/>
      </w:tblGrid>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N п/п</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Показатели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Единица измерения</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Вуз/Филиал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Методика расчета</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А</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Б</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В</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Г</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Д</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1</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Образовательная деятельность</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Средний балл ЕГЭ студентов, принятых по результатам ЕГЭ на обучение по очной форме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за счет средств соответствующих бюджетов бюджетной системы РФ</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балл</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суммы средних баллов ЕГЭ студентов, принятых на обучение по очной форме обучения по результатам ЕГЭ или по результатам ЕГЭ и дополнительных испытаний за счет средств соответствующих бюджетов бюджетной системы Российской Федерации за исключением лиц, принятых по результатам целевого приема, по всем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умноженных на численность таких студентов, обучающихся по соответствующим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к суммарной численности таких студентов.</w:t>
            </w:r>
          </w:p>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Результаты студентов, имеющих право на прием без вступительных испытаний, признаются как наивысшие результаты ЕГЭ (100 баллов) по соответствующим общеобразовательным предметам.</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Средний балл ЕГЭ студентов университета, принятых по результатам ЕГЭ на обучение по очной форме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за счет средств соответствующих бюджетов бюджетной системы </w:t>
            </w:r>
            <w:r w:rsidRPr="00A0339B">
              <w:rPr>
                <w:rFonts w:ascii="Times New Roman" w:eastAsia="Times New Roman" w:hAnsi="Times New Roman" w:cs="Times New Roman"/>
                <w:sz w:val="24"/>
                <w:szCs w:val="24"/>
                <w:lang w:eastAsia="ru-RU"/>
              </w:rPr>
              <w:lastRenderedPageBreak/>
              <w:t>Российской Федерации, за исключением лиц, поступивших с учетом особых прав и в рамках квоты целевого приема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балл</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суммы средних баллов ЕГЭ студентов, принятых на обучение по очной форме обучения по результатам ЕГЭ или по результатам ЕГЭ и дополнительных испытаний за счет средств соответствующих бюджетов бюджетной системы Российской Федерации за исключением лиц, поступивших с учетом особых прав и в рамках квоты целевого приема, по всем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умноженных </w:t>
            </w:r>
            <w:r w:rsidRPr="00A0339B">
              <w:rPr>
                <w:rFonts w:ascii="Times New Roman" w:eastAsia="Times New Roman" w:hAnsi="Times New Roman" w:cs="Times New Roman"/>
                <w:sz w:val="24"/>
                <w:szCs w:val="24"/>
                <w:lang w:eastAsia="ru-RU"/>
              </w:rPr>
              <w:lastRenderedPageBreak/>
              <w:t xml:space="preserve">на численность таких студентов, обучающихся по соответствующим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к суммарной численности таких студентов.</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I1.3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Средний балл ЕГЭ студентов, принятых по результатам ЕГЭ на обучение по очной форме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с оплатой стоимости затрат на обучение физическими и юридическими лицами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балл</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суммы средних баллов ЕГЭ студентов, принятых на обучение по очной форме обучения по результатам ЕГЭ или по результатам ЕГЭ и дополнительных испытаний с оплатой стоимости затрат на обучение физическими и юридическими лицами за исключением лиц, принятых по результатам целевого приема, по всем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умноженных на численность таких студентов, обучающихся по соответствующим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к суммарной численности таких студентов.</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Усредненный по реализуемым направлениям (специальностям) минимальный балл ЕГЭ студентов, принятых по результатам ЕГЭ на обучение по очной форме на программы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балл</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суммы минимумов средних минимальных баллов ЕГЭ студентов, принятых на обучение по очной форме обучения по результатам ЕГЭ или по результатам ЕГЭ и дополнительных испытаний за счет средств соответствующих бюджетов бюджетной системы Российской Федерации или с оплатой стоимости затрат на обучение физическими и юридическими лицами за исключением лиц, принятых по результатам целевого приема, по всем направлениям и специальностям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к количеству направлений и специальностей, на которые осуществлен прием студентов по результатам ЕГЭ.</w:t>
            </w:r>
          </w:p>
          <w:p w:rsidR="00A0339B" w:rsidRPr="00A0339B" w:rsidRDefault="00A0339B" w:rsidP="00FB68F6">
            <w:pPr>
              <w:spacing w:after="0" w:line="240" w:lineRule="auto"/>
              <w:jc w:val="center"/>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bdr w:val="none" w:sz="0" w:space="0" w:color="auto" w:frame="1"/>
                <w:lang w:eastAsia="ru-RU"/>
              </w:rPr>
              <w:lastRenderedPageBreak/>
              <w:drawing>
                <wp:inline distT="0" distB="0" distL="0" distR="0" wp14:anchorId="09AE58FF" wp14:editId="0098F5E6">
                  <wp:extent cx="13870305" cy="1710055"/>
                  <wp:effectExtent l="0" t="0" r="0" b="4445"/>
                  <wp:docPr id="15" name="Рисунок 15" descr="https://avatars.mds.yandex.net/get-adfox-content/2914398/201030_adfox_1310107_3788701.b32b01c8e1e7ba09a63601198640c54e.gif/optimize.webp?webp=false">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get-adfox-content/2914398/201030_adfox_1310107_3788701.b32b01c8e1e7ba09a63601198640c54e.gif/optimize.webp?webp=fals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70305" cy="1710055"/>
                          </a:xfrm>
                          <a:prstGeom prst="rect">
                            <a:avLst/>
                          </a:prstGeom>
                          <a:noFill/>
                          <a:ln>
                            <a:noFill/>
                          </a:ln>
                        </pic:spPr>
                      </pic:pic>
                    </a:graphicData>
                  </a:graphic>
                </wp:inline>
              </w:drawing>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I1.5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победителей и призеров заключительного этапа всероссийской олимпиады школьников, членов сборных команд Российской Федерации, участвовавших в международных олимпиадах по общеобразовательным предметам по специальностям и (или) направлениям подготовки, соответствующим профилю всероссийской олимпиады школьников или международной олимпиады, принятых на очную форму обучения на первый курс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без вступительных испытаний</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человек</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победителей и призеров заключительного этапа всероссийской олимпиады школьников, членов сборных команд Российской Федерации, участвовавших в международных олимпиадах по общеобразовательным предметам по специальностям и (или) направлениям подготовки, соответствующим профилю всероссийской олимпиады школьников или международной олимпиады, принятых па очную форму обучения на первый курс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без вступительных испытаний</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I1.6</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победителей и призеров олимпиад школьников, принятых на очную форму обучения на </w:t>
            </w:r>
            <w:r w:rsidRPr="00A0339B">
              <w:rPr>
                <w:rFonts w:ascii="Times New Roman" w:eastAsia="Times New Roman" w:hAnsi="Times New Roman" w:cs="Times New Roman"/>
                <w:sz w:val="24"/>
                <w:szCs w:val="24"/>
                <w:lang w:eastAsia="ru-RU"/>
              </w:rPr>
              <w:lastRenderedPageBreak/>
              <w:t xml:space="preserve">первый курс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без вступительных испытаний</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человек</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победителей и призеров олимпиад школьников, принятых на очную форму обучения на первый курс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по специальностям и (или) направлениям </w:t>
            </w:r>
            <w:r w:rsidRPr="00A0339B">
              <w:rPr>
                <w:rFonts w:ascii="Times New Roman" w:eastAsia="Times New Roman" w:hAnsi="Times New Roman" w:cs="Times New Roman"/>
                <w:sz w:val="24"/>
                <w:szCs w:val="24"/>
                <w:lang w:eastAsia="ru-RU"/>
              </w:rPr>
              <w:lastRenderedPageBreak/>
              <w:t>подготовки, соответствующим профилю олимпиады школьников, без вступительных испытаний</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I1.7</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принятых по результатам целевого приема на первый курс на очную форму обучения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человек</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принятых на места в рамках квоты целевого приема на первый курс на очную форму обучения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I1.8</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студентов, принятых по результатам целевого приема на первый курс на очную форму обучения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в общей численности студентов, принятых на первый курс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на очную форму обучения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студентов, принятых на места в рамках квоты целевого приема на первый курс на очную форму обучения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к общей численности студентов, принятых на первый курс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и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на очную форму обучения,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I1.9</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студентов (приведенного контингента), обучающихся по программам магистратуры, в общей численности приведенного контингента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приведенного контингента студентов, обучающихся по программам магистратуры,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 выраженное в процентах.</w:t>
            </w:r>
          </w:p>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Приведенный контингент здесь и далее рассчитывается по формуле a + (b x 0,25) + (c x 0,1), где a - численность обучающихся по очной форме обучения; b - численность обучающихся по очно-заочной (вечерней) форме обучения; c - численность обучающихся по заочной форме обучения.</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I1.10</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обучающихся (приведенного контингента), по программам магистратуры, подготовки научно-педагогических кадров в аспирантуре (адъюнктуре),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-стажировки в общей численности приведенного контингента обучающихся по основным образовательным программам высшего образования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приведенного контингента обучающихся по программам магистратуры, подготовки научно-педагогических кадров в аспирантуре (адъюнктуре),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 xml:space="preserve">-стажировки, к приведенному контингенту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аспирантуры (адъюнктуры),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-стажировки,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I1.11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численности студентов, имеющих диплом бакалавра, специалиста или магистра других организаций, принятых на первый курс на обучение по программам магистратуры образовательной организации, в общей численности студентов, принятых на первый курс по программам магистратуры на очную форму обучения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студентов "1", имеющих диплом бакалавра, диплом специалиста или диплом магистра, являющийся основанием для поступления на обучение по программе магистратуры, других организаций, осуществляющих образовательную деятельность, принятых на первый курс на обучение по программам магистратуры на очную форму обучения, к общей численности студентов, принятых на первый курс по программам магистратуры на очную форму обучения,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I1.12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обучающихся по программам магистратуры, подготовки научно-педагогических кадров в аспирантуре (адъюнктуре),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 xml:space="preserve">-стажировки, имеющих диплом бакалавра, диплом специалиста или диплом магистра других </w:t>
            </w:r>
            <w:r w:rsidRPr="00A0339B">
              <w:rPr>
                <w:rFonts w:ascii="Times New Roman" w:eastAsia="Times New Roman" w:hAnsi="Times New Roman" w:cs="Times New Roman"/>
                <w:sz w:val="24"/>
                <w:szCs w:val="24"/>
                <w:lang w:eastAsia="ru-RU"/>
              </w:rPr>
              <w:lastRenderedPageBreak/>
              <w:t xml:space="preserve">организаций в общей численности обучающихся по программам магистратуры, подготовки научно-педагогических кадров в аспирантуре (адъюнктуре),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-стажировки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обучающихся по программам магистратуры "1", подготовки научно-педагогических кадров в аспирантуре (адъюнктуре),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 xml:space="preserve">-стажировки, имеющих диплом бакалавра, диплом специалиста или диплом магистра, являющийся основанием для получения данного уровня образования, других организаций, к общей численности обучающихся по программам магистратуры, подготовки научно-педагогических кадров в аспирантуре (адъюнктуре), ординатуры, </w:t>
            </w:r>
            <w:proofErr w:type="spellStart"/>
            <w:r w:rsidRPr="00A0339B">
              <w:rPr>
                <w:rFonts w:ascii="Times New Roman" w:eastAsia="Times New Roman" w:hAnsi="Times New Roman" w:cs="Times New Roman"/>
                <w:sz w:val="24"/>
                <w:szCs w:val="24"/>
                <w:lang w:eastAsia="ru-RU"/>
              </w:rPr>
              <w:t>ассистентуры</w:t>
            </w:r>
            <w:proofErr w:type="spellEnd"/>
            <w:r w:rsidRPr="00A0339B">
              <w:rPr>
                <w:rFonts w:ascii="Times New Roman" w:eastAsia="Times New Roman" w:hAnsi="Times New Roman" w:cs="Times New Roman"/>
                <w:sz w:val="24"/>
                <w:szCs w:val="24"/>
                <w:lang w:eastAsia="ru-RU"/>
              </w:rPr>
              <w:t>-стажировки,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I1.13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Численность аспирантов (адъюнктов), ординаторов, ассистентов-стажеров образовательной организации в расчете на 100 студентов (приведенного контингента)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человек</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аспирантов (адъюнктов), ординаторов, ассистентов-стажеров образовательной организации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I1.14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численности слушателей из сторонних организаций в общей численности слушателей, прошедших обучение в образовательной организации по программам повышения квалификации или профессиональной переподготовки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слушателей из сторонних организаций, прошедших обучение в образовательной организации по программам повышения квалификации или профессиональной переподготовки, к общей численности слушателей, прошедших обучение в образовательной организации по программам повышения квалификации или профессиональной переподготовки,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I1.15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 по областям знаний "Инженерное дело, технологии и технические науки", "Здравоохранение и медицинские науки", "Образование и педагогические </w:t>
            </w:r>
            <w:r w:rsidRPr="00A0339B">
              <w:rPr>
                <w:rFonts w:ascii="Times New Roman" w:eastAsia="Times New Roman" w:hAnsi="Times New Roman" w:cs="Times New Roman"/>
                <w:sz w:val="24"/>
                <w:szCs w:val="24"/>
                <w:lang w:eastAsia="ru-RU"/>
              </w:rPr>
              <w:lastRenderedPageBreak/>
              <w:t>науки", с которыми заключены договоры о целевом обучении, в общей численности студентов, обучающихся по указанным областям знаний</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и магистратуры по областям знаний "Инженерное дело, технологии и технические науки", "Здравоохранение и медицинские науки", "Образование и педагогические науки", с которыми заключены договоры о целевом обучении, к общей численности студентов, обучающихся по указанным областям знаний, выраженное в процентах.</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2</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Научно-исследовательская деятельность</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Количество цитирований публикаций, изданных за последние 5 лет,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Web</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of</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Science</w:t>
            </w:r>
            <w:proofErr w:type="spellEnd"/>
            <w:r w:rsidRPr="00A0339B">
              <w:rPr>
                <w:rFonts w:ascii="Times New Roman" w:eastAsia="Times New Roman" w:hAnsi="Times New Roman" w:cs="Times New Roman"/>
                <w:sz w:val="24"/>
                <w:szCs w:val="24"/>
                <w:lang w:eastAsia="ru-RU"/>
              </w:rPr>
              <w:t xml:space="preserve">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количества цитирований публикаций организации, изданных за последние 5 лет,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Web</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of</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Science</w:t>
            </w:r>
            <w:proofErr w:type="spellEnd"/>
            <w:r w:rsidRPr="00A0339B">
              <w:rPr>
                <w:rFonts w:ascii="Times New Roman" w:eastAsia="Times New Roman" w:hAnsi="Times New Roman" w:cs="Times New Roman"/>
                <w:sz w:val="24"/>
                <w:szCs w:val="24"/>
                <w:lang w:eastAsia="ru-RU"/>
              </w:rPr>
              <w:t>, к численности НПР,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Количество цитирований публикаций, изданных за последние 5 лет,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Scopus</w:t>
            </w:r>
            <w:proofErr w:type="spellEnd"/>
            <w:r w:rsidRPr="00A0339B">
              <w:rPr>
                <w:rFonts w:ascii="Times New Roman" w:eastAsia="Times New Roman" w:hAnsi="Times New Roman" w:cs="Times New Roman"/>
                <w:sz w:val="24"/>
                <w:szCs w:val="24"/>
                <w:lang w:eastAsia="ru-RU"/>
              </w:rPr>
              <w:t xml:space="preserve">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количества цитирований публикаций организации, изданных за последние 5 лет,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Scopus</w:t>
            </w:r>
            <w:proofErr w:type="spellEnd"/>
            <w:r w:rsidRPr="00A0339B">
              <w:rPr>
                <w:rFonts w:ascii="Times New Roman" w:eastAsia="Times New Roman" w:hAnsi="Times New Roman" w:cs="Times New Roman"/>
                <w:sz w:val="24"/>
                <w:szCs w:val="24"/>
                <w:lang w:eastAsia="ru-RU"/>
              </w:rPr>
              <w:t>, к численности НПР,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цитирований публикаций, изданных за последние 5 лет, индексируемых в Российском индексе научного цитирования (далее - РИНЦ)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количества цитирований публикаций организации, изданных за последние 5 лет, индексируемых в информационно-аналитической системе научного цитирования РИНЦ, к численности НПР,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Число публикаций организации,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Web</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of</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Science</w:t>
            </w:r>
            <w:proofErr w:type="spellEnd"/>
            <w:r w:rsidRPr="00A0339B">
              <w:rPr>
                <w:rFonts w:ascii="Times New Roman" w:eastAsia="Times New Roman" w:hAnsi="Times New Roman" w:cs="Times New Roman"/>
                <w:sz w:val="24"/>
                <w:szCs w:val="24"/>
                <w:lang w:eastAsia="ru-RU"/>
              </w:rPr>
              <w:t>,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числа публикаций организации, изданных в отчетном году,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Web</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of</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Science</w:t>
            </w:r>
            <w:proofErr w:type="spellEnd"/>
            <w:r w:rsidRPr="00A0339B">
              <w:rPr>
                <w:rFonts w:ascii="Times New Roman" w:eastAsia="Times New Roman" w:hAnsi="Times New Roman" w:cs="Times New Roman"/>
                <w:sz w:val="24"/>
                <w:szCs w:val="24"/>
                <w:lang w:eastAsia="ru-RU"/>
              </w:rPr>
              <w:t>, к численности НПР,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I2.5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Число публикаций организации,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Scopus</w:t>
            </w:r>
            <w:proofErr w:type="spellEnd"/>
            <w:r w:rsidRPr="00A0339B">
              <w:rPr>
                <w:rFonts w:ascii="Times New Roman" w:eastAsia="Times New Roman" w:hAnsi="Times New Roman" w:cs="Times New Roman"/>
                <w:sz w:val="24"/>
                <w:szCs w:val="24"/>
                <w:lang w:eastAsia="ru-RU"/>
              </w:rPr>
              <w:t>,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числа публикаций организации, изданных в отчетном году, индексируемых в информационно-аналитической системе научного цитирования </w:t>
            </w:r>
            <w:proofErr w:type="spellStart"/>
            <w:r w:rsidRPr="00A0339B">
              <w:rPr>
                <w:rFonts w:ascii="Times New Roman" w:eastAsia="Times New Roman" w:hAnsi="Times New Roman" w:cs="Times New Roman"/>
                <w:sz w:val="24"/>
                <w:szCs w:val="24"/>
                <w:lang w:eastAsia="ru-RU"/>
              </w:rPr>
              <w:t>Scopus</w:t>
            </w:r>
            <w:proofErr w:type="spellEnd"/>
            <w:r w:rsidRPr="00A0339B">
              <w:rPr>
                <w:rFonts w:ascii="Times New Roman" w:eastAsia="Times New Roman" w:hAnsi="Times New Roman" w:cs="Times New Roman"/>
                <w:sz w:val="24"/>
                <w:szCs w:val="24"/>
                <w:lang w:eastAsia="ru-RU"/>
              </w:rPr>
              <w:t>, к численности НПР,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I2.6</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Число публикаций организации, индексируемых в информационно-аналитической системе научного цитирования РИНЦ,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p w:rsidR="00A0339B" w:rsidRPr="00A0339B" w:rsidRDefault="00A0339B" w:rsidP="00FB68F6">
            <w:pPr>
              <w:spacing w:after="0" w:line="240" w:lineRule="auto"/>
              <w:jc w:val="center"/>
              <w:textAlignment w:val="baseline"/>
              <w:rPr>
                <w:rFonts w:ascii="Times New Roman" w:eastAsia="Times New Roman" w:hAnsi="Times New Roman" w:cs="Times New Roman"/>
                <w:sz w:val="24"/>
                <w:szCs w:val="24"/>
                <w:lang w:eastAsia="ru-RU"/>
              </w:rPr>
            </w:pP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числа публикаций организации, изданных в отчетном году, индексируемых в информационно-аналитической системе научного цитирования РИНЦ, к численности НПР,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I2.7</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Общий объем научно-исследовательских и опытно-конструкторских работ (далее - НИОКР)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Общий объем средств, поступивших за отчетный год от выполнения научно-исследовательских и опытно-конструкторских работ (без НДС, акцизов и других аналогичных платежей).</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I2.8</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доходов от НИОКР в общих доходах образовательной организации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объема средств, поступивших за отчетный год от выполнения НИОКР, к общему объему поступивших средств образовательной организации,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I2.9</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НИОКР, выполненных собственными силами (без привлечения соисполнителей), в общих доходах образовательной организации от НИОКР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объема средств, поступивших за отчетный год от выполнения НИОКР, выполненных собственными силами (без привлечения соисполнителей), к общему объему средств, поступивших за отчетный год от выполнения НИОКР (без НДС, акцизов и других аналогичных платежей),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I2.10</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Доходы от НИОКР (за исключением средств бюджетов бюджетной системы Российской Федерации, государственных фондов поддержки науки) в расчете на одного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объема средств, поступивших за отчетный год от выполнения НИОКР из внебюджетных источников, к численности НПР.</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лицензионных соглашений</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лицензионных соглашений образовательной организации</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средств, полученных образовательной </w:t>
            </w:r>
            <w:r w:rsidRPr="00A0339B">
              <w:rPr>
                <w:rFonts w:ascii="Times New Roman" w:eastAsia="Times New Roman" w:hAnsi="Times New Roman" w:cs="Times New Roman"/>
                <w:sz w:val="24"/>
                <w:szCs w:val="24"/>
                <w:lang w:eastAsia="ru-RU"/>
              </w:rPr>
              <w:lastRenderedPageBreak/>
              <w:t>организацией от использования результатов интеллектуальной деятельности, в общих доходах образовательной организации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объема средств, полученных образовательной организацией от использования результатов интеллектуальной деятельности, к </w:t>
            </w:r>
            <w:r w:rsidRPr="00A0339B">
              <w:rPr>
                <w:rFonts w:ascii="Times New Roman" w:eastAsia="Times New Roman" w:hAnsi="Times New Roman" w:cs="Times New Roman"/>
                <w:sz w:val="24"/>
                <w:szCs w:val="24"/>
                <w:lang w:eastAsia="ru-RU"/>
              </w:rPr>
              <w:lastRenderedPageBreak/>
              <w:t>общему объему средств образовательной организации, поступивших в отчетном году,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I2.13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численности НПР без ученой степени - до 30 лет, кандидатов наук - до 35 лет, докторов наук - до 40 лет, в общей численности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научно-педагогических работников без ученой степени - до 30 лет, кандидатов наук - до 35 лет, докторов наук - до 40 лет к общей численности работников, относящихся к категории профессорско-преподавательского состава или научных работников по основной занимаемой должности, на 01 октября отчетного года, включая работающих на условиях штатного совместительства (внешних совместителей), без работающих по договорам гражданско-правового характера, без учета занимаемых ставок,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научно-педагогических работников, защитивших кандидатские и докторские диссертации за отчетный период в общей численности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НПР (без внешних совместителей и работавших по договорам ГПХ) защитивших кандидатские и докторские диссертации в период с 01.10.16 по 30.09.17 к общей численности работников, относящихся к категории профессорско-преподавательского состава или научных работников по основной занимаемой должности, на 01 октября отчетного года (без внешних совместителей и работавших по договорам ГПХ), без учета занимаемых ставок,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научных журналов, в том числе электронных, издаваемых образовательной организацией</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научных журналов, в том числе электронных, издаваемых образовательной организацией.</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I2.16</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полученных грантов за отчетный год в расчете на 100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количества грантов, полученных в отчетном году, к численности НПР, умноженное на 100.</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3</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Международная деятельность</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иностранных студентов (кроме стран Содружества Независимых Государств (далее - СНГ)), </w:t>
            </w:r>
            <w:r w:rsidRPr="00A0339B">
              <w:rPr>
                <w:rFonts w:ascii="Times New Roman" w:eastAsia="Times New Roman" w:hAnsi="Times New Roman" w:cs="Times New Roman"/>
                <w:sz w:val="24"/>
                <w:szCs w:val="24"/>
                <w:lang w:eastAsia="ru-RU"/>
              </w:rPr>
              <w:lastRenderedPageBreak/>
              <w:t xml:space="preserve">обучающихся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в общей численности студентов (приведенный контингент)</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приведенного контингента студентов - граждан иностранных государств (кроме стран СНГ),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к приведенному контингенту студентов, обучающихся </w:t>
            </w:r>
            <w:r w:rsidRPr="00A0339B">
              <w:rPr>
                <w:rFonts w:ascii="Times New Roman" w:eastAsia="Times New Roman" w:hAnsi="Times New Roman" w:cs="Times New Roman"/>
                <w:sz w:val="24"/>
                <w:szCs w:val="24"/>
                <w:lang w:eastAsia="ru-RU"/>
              </w:rPr>
              <w:lastRenderedPageBreak/>
              <w:t xml:space="preserve">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(кроме студентов, обучающихся на специальностях, на которые не предусмотрен прием иностранных граждан),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I3.2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иностранных студентов из СНГ,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в общей численности студентов (приведенный контингент)</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приведенного контингента студентов - граждан из стран СНГ,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(кроме студентов, обучающихся на специальностях, на которые не предусмотрен прием иностранных граждан),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иностранных студентов, завершивших освоение образовательных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в общей численности студентов (приведенный контингент)</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выпуска студентов (приведенного контингента) - граждан иностранных государств, обучавшихся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к общему выпуску студентов (приведенного контингента), обучавшихся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(кроме студентов, обучавшихся на специальностях, на которые не предусмотрен прием иностранных граждан),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иностранных студентов (кроме стран СНГ), завершивших освоение образовательных программ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программ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программ магистратуры, в общей численности студентов (приведенный контингент)</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выпуска студентов (приведенного контингента) - граждан иностранных государств (кроме стран СНГ), обучавшихся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к общему выпуску студентов (приведенного контингента), обучавшихся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(кроме студентов, обучавшихся на специальностях, на которые не предусмотрен прием иностранных граждан),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иностранных студентов из стран СНГ, завершивших освоение образовательных программ </w:t>
            </w:r>
            <w:proofErr w:type="spellStart"/>
            <w:r w:rsidRPr="00A0339B">
              <w:rPr>
                <w:rFonts w:ascii="Times New Roman" w:eastAsia="Times New Roman" w:hAnsi="Times New Roman" w:cs="Times New Roman"/>
                <w:sz w:val="24"/>
                <w:szCs w:val="24"/>
                <w:lang w:eastAsia="ru-RU"/>
              </w:rPr>
              <w:lastRenderedPageBreak/>
              <w:t>бакалавриата</w:t>
            </w:r>
            <w:proofErr w:type="spellEnd"/>
            <w:r w:rsidRPr="00A0339B">
              <w:rPr>
                <w:rFonts w:ascii="Times New Roman" w:eastAsia="Times New Roman" w:hAnsi="Times New Roman" w:cs="Times New Roman"/>
                <w:sz w:val="24"/>
                <w:szCs w:val="24"/>
                <w:lang w:eastAsia="ru-RU"/>
              </w:rPr>
              <w:t xml:space="preserve">, программ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программ магистратуры, в общей численности студентов (приведенный контингент)</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выпуска студентов (приведенного контингента) - граждан из стран СНГ, обучавшихся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к общему выпуску студентов (приведенного контингента), обучавшихся по </w:t>
            </w:r>
            <w:r w:rsidRPr="00A0339B">
              <w:rPr>
                <w:rFonts w:ascii="Times New Roman" w:eastAsia="Times New Roman" w:hAnsi="Times New Roman" w:cs="Times New Roman"/>
                <w:sz w:val="24"/>
                <w:szCs w:val="24"/>
                <w:lang w:eastAsia="ru-RU"/>
              </w:rPr>
              <w:lastRenderedPageBreak/>
              <w:t xml:space="preserve">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(кроме студентов, обучавшихся на специальностях, на которые не предусмотрен прием иностранных граждан),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I3.6</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студентов, обучающихся по очной форме обучения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программам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программам магистратуры, прошедших обучение за рубежом не менее семестра (триместра), в общей численности студентов, обучающихся по очной форме обучения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студентов образовательной организации, обучающихся по очной форме обучения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прошедших обучение за рубежом не менее семестра (триместра), к общей численности студентов, обучающихся по очной форме обучения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I3.7</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Численность студентов иностранных образовательных организаций, прошедших обучение в образовательной организации по образовательным по очной форме обучения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программам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программам магистратуры, не менее семестра (триместра) в расчете на 100 студентов, обучающихся по очной форме обучения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студентов иностранных образовательных организаций, прошедших обучение в образовательной организации по очной форме обучения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магистратуры, не менее семестра (триместра), к общей численности студентов, обучающихся по очной форме обучения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 умноженное на 100</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I3.8</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численности иностранных граждан из числа НПР в общей численности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иностранных граждан из числа научно-педагогических работников к общей численности работников, относящихся к категории профессорско-преподавательского состава </w:t>
            </w:r>
            <w:r w:rsidRPr="00A0339B">
              <w:rPr>
                <w:rFonts w:ascii="Times New Roman" w:eastAsia="Times New Roman" w:hAnsi="Times New Roman" w:cs="Times New Roman"/>
                <w:sz w:val="24"/>
                <w:szCs w:val="24"/>
                <w:lang w:eastAsia="ru-RU"/>
              </w:rPr>
              <w:lastRenderedPageBreak/>
              <w:t>или научных работников по основной занимаемой должности, на 01 октября отчетного года, включая работающих на условиях штатного совместительства (внешних совместителей), без работающих по договорам гражданско-правового характера, без учета занимаемых ставок, выраженное в процентах.</w:t>
            </w:r>
          </w:p>
          <w:p w:rsidR="00A0339B" w:rsidRPr="00A0339B" w:rsidRDefault="00A0339B" w:rsidP="00FB68F6">
            <w:pPr>
              <w:spacing w:after="0" w:line="240" w:lineRule="auto"/>
              <w:jc w:val="center"/>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bdr w:val="none" w:sz="0" w:space="0" w:color="auto" w:frame="1"/>
                <w:lang w:eastAsia="ru-RU"/>
              </w:rPr>
              <w:drawing>
                <wp:inline distT="0" distB="0" distL="0" distR="0" wp14:anchorId="071E2212" wp14:editId="2A0DB1C8">
                  <wp:extent cx="13870305" cy="1710055"/>
                  <wp:effectExtent l="0" t="0" r="0" b="4445"/>
                  <wp:docPr id="13" name="Рисунок 13" descr="https://avatars.mds.yandex.net/get-adfox-content/2462621/201030_adfox_1310107_3788749.b32b01c8e1e7ba09a63601198640c54e.gif/optimize.webp?webp=fals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vatars.mds.yandex.net/get-adfox-content/2462621/201030_adfox_1310107_3788749.b32b01c8e1e7ba09a63601198640c54e.gif/optimize.webp?webp=false">
                            <a:hlinkClick r:id="rId12"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70305" cy="1710055"/>
                          </a:xfrm>
                          <a:prstGeom prst="rect">
                            <a:avLst/>
                          </a:prstGeom>
                          <a:noFill/>
                          <a:ln>
                            <a:noFill/>
                          </a:ln>
                        </pic:spPr>
                      </pic:pic>
                    </a:graphicData>
                  </a:graphic>
                </wp:inline>
              </w:drawing>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I3.9</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Численность зарубежных ведущих профессоров, преподавателей и исследователей, работающих (работавших) в образовательной организации не менее 1 семестра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чел.</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Численность иностранных граждан из числа научно-педагогических работников, работающих (работавших в учебном году, завершившемся в отчетном) в образовательной организации не менее 1 семестра.</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I3.10</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численности иностранных граждан (кроме стран СНГ) из числа аспирантов (адъюнктов), ординаторов, ассистентов-стажеров образовательной организации в общей численности аспирантов (адъюнктов), ординаторов, ассистентов-стажеров</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иностранных граждан (кроме стран СНГ) из числа аспирантов (адъюнктов), ординаторов, ассистентов-стажеров к общей численности аспирантов (адъюнктов), ординаторов, ассистентов-стажеров образовательной организации,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I3.11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Удельный вес численности иностранных граждан из стран СНГ из числа аспирантов </w:t>
            </w:r>
            <w:r w:rsidRPr="00A0339B">
              <w:rPr>
                <w:rFonts w:ascii="Times New Roman" w:eastAsia="Times New Roman" w:hAnsi="Times New Roman" w:cs="Times New Roman"/>
                <w:sz w:val="24"/>
                <w:szCs w:val="24"/>
                <w:lang w:eastAsia="ru-RU"/>
              </w:rPr>
              <w:lastRenderedPageBreak/>
              <w:t>(адъюнктов), ординаторов, ассистентов-стажеров образовательной организации в общей численности аспирантов (адъюнктов), ординаторов, ассистентов-стажеров</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иностранных граждан стран СНГ из числа аспирантов (адъюнктов), ординаторов, ассистентов-стажеров к общей </w:t>
            </w:r>
            <w:r w:rsidRPr="00A0339B">
              <w:rPr>
                <w:rFonts w:ascii="Times New Roman" w:eastAsia="Times New Roman" w:hAnsi="Times New Roman" w:cs="Times New Roman"/>
                <w:sz w:val="24"/>
                <w:szCs w:val="24"/>
                <w:lang w:eastAsia="ru-RU"/>
              </w:rPr>
              <w:lastRenderedPageBreak/>
              <w:t>численности аспирантов (адъюнктов), ординаторов, ассистентов-стажеров образовательной организации,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I3.12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Объем средств, полученных образовательной организацией от выполнения НИОКР от иностранных граждан и иностранных юридических лиц</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Объем средств организации, поступивших за отчетный год от выполнения НИОКР из иностранных источников (иностранных граждан и иностранных юридических лиц, а также от международных организаций).</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I3.13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Объем средств от образовательной деятельности, полученных образовательной организацией от иностранных граждан и иностранных юридических лиц</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Объем средств организации, поступивших за отчетный год от образовательной деятельности из иностранных источников (иностранных граждан и иностранных юридических лиц, а также от международных организаций).</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4</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Финансово-экономическая деятельность</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I4.1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Доходы образовательной организации из средств от приносящей доход деятельности в расчете на одного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объема средств организации, поступивших за отчетный год из внебюджетных источников, к численности НПР.</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I4.2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Доля доходов из средств от приносящей доход деятельности в доходах по всем видам финансового обеспечения (деятельности) образовательной организации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объема средств организации, поступивших за отчетный год из внебюджетных источников, к объему средств организации, поступивших за отчетный год из бюджетных и внебюджетных источников,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I4.3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средней заработной платы НПР в образовательной организации (из всех источников) к средней заработной плате по экономике региона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фонда начисленной заработной платы работников профессорско-преподавательского состава и научных работников, без учета работающих на условиях штатного совместительства (внешних совместителей), по договорам гражданско-правового характера, к среднесписочной численности таких работников, деленное на 12 и </w:t>
            </w:r>
            <w:r w:rsidRPr="00A0339B">
              <w:rPr>
                <w:rFonts w:ascii="Times New Roman" w:eastAsia="Times New Roman" w:hAnsi="Times New Roman" w:cs="Times New Roman"/>
                <w:sz w:val="24"/>
                <w:szCs w:val="24"/>
                <w:lang w:eastAsia="ru-RU"/>
              </w:rPr>
              <w:lastRenderedPageBreak/>
              <w:t>деленное на соответствующую среднемесячную начисленную заработную плату наемных работников в организациях, у индивидуальных предпринимателей и физических лиц (среднемесячный доход от трудовой деятельности) в субъекте РФ,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I4.4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Доходы образовательной организации из всех источников в расчете на численность студентов (приведенный контингент)</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тыс. руб.</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объема средств организации, поступивших за отчетный год из бюджетных и внебюджетных источников,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5</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Инфраструктура</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Общая площадь учебно-лабораторных помещений в расчете на одного студента (приведенного контингента), в том числе:</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кв. м</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площади учебно-лабораторных зданий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имеющихся на праве собственности</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кв. м</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площади учебно-лабораторных зданий, имеющихся у образовательной организации на праве собственности,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закрепленных на праве оперативного управления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кв. м</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площади учебно-лабораторных зданий, закрепленных за образовательной организацией на праве оперативного управления,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предоставленных безвозмездное пользование</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кв. м</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площади учебно-лабораторных зданий, предоставленных образовательной организации в безвозмездное пользование,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предоставленных в аренду</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кв. м</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площади учебно-лабораторных зданий, предоставленных образовательной организации в аренду,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I5.6</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персональных компьютеров в расчете на одного студента (приведенного контингента)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количества персональных компьютеров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I5.7</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стоимости машин и оборудования (не старше 5 лет) в общей стоимости машин и оборудования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стоимости оборудования не старше 5 лет к общей стоимости оборудования образовательной организации,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I5.8</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Количество экземпляров печатных учебных изданий (включая учебники и учебные пособия) из общего количества единиц хранения библиотечного фонда, состоящих на учете, в расчете на одного студента (приведенного контингента)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количества экземпляров печатных учебных изданий (включая учебники и учебные пособия) из общего количества единиц хранения библиотечного фонда, состоящих на учете, к приведенному контингенту студентов, обучающихся по образовательным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магистратуры</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6</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Трудоустройство</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I6.1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выпускников, трудоустроившихся в течение календарного года, следующего за годом выпуска, в общей численности выпускников образовательной организации обучавшихся по основным образовательным программам высшего образования.</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Все</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численности трудоустроившихся в течение календарного года, следующего за годом выпуска, выпускников образовательной организации высшего образования, к общей численности выпускников образовательной организации года, предшествующего отчетному, обучавшихся по очной форме обучения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программам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программам ординатуры/интернатуры и получавших образование данного уровня впервые (первое высшее образование), вне зависимости от основы обучения, за исключением продолживших обучение и (или) являющихся иностранными гражданами, выраженное в процентах.</w:t>
            </w:r>
          </w:p>
        </w:tc>
      </w:tr>
      <w:tr w:rsidR="00FB68F6" w:rsidRPr="00A0339B"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7</w:t>
            </w:r>
          </w:p>
        </w:tc>
        <w:tc>
          <w:tcPr>
            <w:tcW w:w="13891" w:type="dxa"/>
            <w:gridSpan w:val="4"/>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Кадровый состав</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I7.1</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НПР, имеющих ученую степень кандидата наук, в общей численности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НПР, имеющих ученую степень кандидата наук, к общей численности НПР, выраженное в процентах.</w:t>
            </w:r>
          </w:p>
          <w:p w:rsidR="00A0339B" w:rsidRPr="00A0339B" w:rsidRDefault="00A0339B" w:rsidP="00FB68F6">
            <w:pPr>
              <w:spacing w:after="0" w:line="240" w:lineRule="auto"/>
              <w:jc w:val="center"/>
              <w:textAlignment w:val="baseline"/>
              <w:rPr>
                <w:rFonts w:ascii="Times New Roman" w:eastAsia="Times New Roman" w:hAnsi="Times New Roman" w:cs="Times New Roman"/>
                <w:sz w:val="24"/>
                <w:szCs w:val="24"/>
                <w:lang w:eastAsia="ru-RU"/>
              </w:rPr>
            </w:pP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lastRenderedPageBreak/>
              <w:t>I7.2</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НПР имеющих ученую степень доктора наук, в общей численности НПР</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НПР, имеющих ученую степень доктора наук, к общей численности НПР,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I7.3</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Удельный вес НПР, имеющих ученую степень кандидата и доктора наук, в общей численности НПР образовательной организации (без совместителей и работающих по договорам гражданско-правового характера)</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НПР (без совместителей и работающих по договорам гражданско-правового характера), имеющих ученую степень кандидата и доктора наук, к общей численности НПР образовательной организации (без совместителей и работающих по договорам гражданско-правового характера), выраженное в процентах.</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I7.4</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Число НПР, имеющих ученую степень кандидата и доктора наук, в расчете на 100 студентов</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ед.</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 xml:space="preserve">Отношение приведенной к числу ставок численности НПР, имеющих ученую степень доктора наук или кандидата наук, к численности студентов, обучающихся по программам </w:t>
            </w:r>
            <w:proofErr w:type="spellStart"/>
            <w:r w:rsidRPr="00A0339B">
              <w:rPr>
                <w:rFonts w:ascii="Times New Roman" w:eastAsia="Times New Roman" w:hAnsi="Times New Roman" w:cs="Times New Roman"/>
                <w:sz w:val="24"/>
                <w:szCs w:val="24"/>
                <w:lang w:eastAsia="ru-RU"/>
              </w:rPr>
              <w:t>бакалавриата</w:t>
            </w:r>
            <w:proofErr w:type="spellEnd"/>
            <w:r w:rsidRPr="00A0339B">
              <w:rPr>
                <w:rFonts w:ascii="Times New Roman" w:eastAsia="Times New Roman" w:hAnsi="Times New Roman" w:cs="Times New Roman"/>
                <w:sz w:val="24"/>
                <w:szCs w:val="24"/>
                <w:lang w:eastAsia="ru-RU"/>
              </w:rPr>
              <w:t xml:space="preserve">, </w:t>
            </w:r>
            <w:proofErr w:type="spellStart"/>
            <w:r w:rsidRPr="00A0339B">
              <w:rPr>
                <w:rFonts w:ascii="Times New Roman" w:eastAsia="Times New Roman" w:hAnsi="Times New Roman" w:cs="Times New Roman"/>
                <w:sz w:val="24"/>
                <w:szCs w:val="24"/>
                <w:lang w:eastAsia="ru-RU"/>
              </w:rPr>
              <w:t>специалитета</w:t>
            </w:r>
            <w:proofErr w:type="spellEnd"/>
            <w:r w:rsidRPr="00A0339B">
              <w:rPr>
                <w:rFonts w:ascii="Times New Roman" w:eastAsia="Times New Roman" w:hAnsi="Times New Roman" w:cs="Times New Roman"/>
                <w:sz w:val="24"/>
                <w:szCs w:val="24"/>
                <w:lang w:eastAsia="ru-RU"/>
              </w:rPr>
              <w:t xml:space="preserve"> и магистратуры.</w:t>
            </w:r>
          </w:p>
        </w:tc>
      </w:tr>
      <w:tr w:rsidR="00FB68F6" w:rsidRPr="00FB68F6" w:rsidTr="00A0339B">
        <w:tc>
          <w:tcPr>
            <w:tcW w:w="983"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I7.5</w:t>
            </w:r>
          </w:p>
        </w:tc>
        <w:tc>
          <w:tcPr>
            <w:tcW w:w="3544"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Доля штатных работников ППС в общей численности ППС</w:t>
            </w:r>
          </w:p>
        </w:tc>
        <w:tc>
          <w:tcPr>
            <w:tcW w:w="1700"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tc>
        <w:tc>
          <w:tcPr>
            <w:tcW w:w="1276"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Вуз</w:t>
            </w:r>
          </w:p>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Филиал</w:t>
            </w:r>
          </w:p>
        </w:tc>
        <w:tc>
          <w:tcPr>
            <w:tcW w:w="7371"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Отношение численности штатных работников ППС (без учета внутренних совместителей и работающих по договорам гражданско-правового характера, без учета занимаемых ставок) к общей численности ППС (без учета внутренних совместителей и работающих по договорам гражданско-правового характера, без учета занимаемых ставок), выраженное в процентах.</w:t>
            </w:r>
          </w:p>
        </w:tc>
      </w:tr>
    </w:tbl>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"1" Включая иностранных граждан и лиц без гражданства, в том числе соотечественников, проживающих за рубежом, обучающихся в соответствии с установленной Правительством Российской Федерации квотой на образование иностранных граждан и лиц без гражданства в Российской Федерации.</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Формулы расчета показателей по направлениям деятельности</w:t>
      </w:r>
    </w:p>
    <w:p w:rsidR="00A0339B" w:rsidRPr="00A0339B" w:rsidRDefault="00A0339B" w:rsidP="00FB68F6">
      <w:pPr>
        <w:shd w:val="clear" w:color="auto" w:fill="FFFFFF"/>
        <w:spacing w:after="0" w:line="240" w:lineRule="auto"/>
        <w:jc w:val="center"/>
        <w:textAlignment w:val="baseline"/>
        <w:rPr>
          <w:rFonts w:ascii="Times New Roman" w:eastAsia="Times New Roman" w:hAnsi="Times New Roman" w:cs="Times New Roman"/>
          <w:b/>
          <w:bCs/>
          <w:sz w:val="24"/>
          <w:szCs w:val="24"/>
          <w:lang w:eastAsia="ru-RU"/>
        </w:rPr>
      </w:pPr>
      <w:r w:rsidRPr="00A0339B">
        <w:rPr>
          <w:rFonts w:ascii="Times New Roman" w:eastAsia="Times New Roman" w:hAnsi="Times New Roman" w:cs="Times New Roman"/>
          <w:b/>
          <w:bCs/>
          <w:sz w:val="24"/>
          <w:szCs w:val="24"/>
          <w:lang w:eastAsia="ru-RU"/>
        </w:rPr>
        <w:t>образовательных организаций высшего образования</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R = P + N - приведенная к ставкам численность НПР.</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S = 2.4.</w:t>
      </w:r>
      <w:proofErr w:type="gramStart"/>
      <w:r w:rsidRPr="00A0339B">
        <w:rPr>
          <w:rFonts w:ascii="Times New Roman" w:eastAsia="Times New Roman" w:hAnsi="Times New Roman" w:cs="Times New Roman"/>
          <w:sz w:val="24"/>
          <w:szCs w:val="24"/>
          <w:lang w:eastAsia="ru-RU"/>
        </w:rPr>
        <w:t>2.стр.</w:t>
      </w:r>
      <w:proofErr w:type="gramEnd"/>
      <w:r w:rsidRPr="00A0339B">
        <w:rPr>
          <w:rFonts w:ascii="Times New Roman" w:eastAsia="Times New Roman" w:hAnsi="Times New Roman" w:cs="Times New Roman"/>
          <w:sz w:val="24"/>
          <w:szCs w:val="24"/>
          <w:lang w:eastAsia="ru-RU"/>
        </w:rPr>
        <w:t>04.гр.12очное + 1/4 x 2.4.2.стр.04.гр.12вечернее + 1/10 x 2.4.2.стр.04.гр.12заочное + 2.4.5.стр.04.гр.12очное + 1/4 x 2.4.5.стр.04.гр.12вечернее + 1/10 x 2.4.5.стр.04.гр.12заочное - приведенный контингент студентов.</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S* - приведенный контингент студентов, обучающихся по направлениям/специальностям, на которые предусмотрен прием иностранных граждан.</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lastRenderedPageBreak/>
        <w:t>V = 2.4.</w:t>
      </w:r>
      <w:proofErr w:type="gramStart"/>
      <w:r w:rsidRPr="00A0339B">
        <w:rPr>
          <w:rFonts w:ascii="Times New Roman" w:eastAsia="Times New Roman" w:hAnsi="Times New Roman" w:cs="Times New Roman"/>
          <w:sz w:val="24"/>
          <w:szCs w:val="24"/>
          <w:lang w:eastAsia="ru-RU"/>
        </w:rPr>
        <w:t>3.стр.</w:t>
      </w:r>
      <w:proofErr w:type="gramEnd"/>
      <w:r w:rsidRPr="00A0339B">
        <w:rPr>
          <w:rFonts w:ascii="Times New Roman" w:eastAsia="Times New Roman" w:hAnsi="Times New Roman" w:cs="Times New Roman"/>
          <w:sz w:val="24"/>
          <w:szCs w:val="24"/>
          <w:lang w:eastAsia="ru-RU"/>
        </w:rPr>
        <w:t>04.гр.5очное + 1/4 x 2.4.3.стр.04.гр.5вечернее + 1/10 x 2.4.3.стр.04.гр.5заочное + 2.4.6.стр.04.гр.5очное + 1/4 x 2.4.6.стр.04.гр.5вечернее + 1/10 x 2.4.6.стр.04.гр.5заочное - приведенный выпуск студентов.</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V* - приведенный выпуск студентов, обучавшихся по направлениям/специальностям, на которые предусмотрен прием иностранных граждан.</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___________________________________________________________________________</w:t>
      </w:r>
    </w:p>
    <w:tbl>
      <w:tblPr>
        <w:tblW w:w="9600" w:type="dxa"/>
        <w:shd w:val="clear" w:color="auto" w:fill="FFFFFF"/>
        <w:tblCellMar>
          <w:left w:w="0" w:type="dxa"/>
          <w:right w:w="0" w:type="dxa"/>
        </w:tblCellMar>
        <w:tblLook w:val="04A0" w:firstRow="1" w:lastRow="0" w:firstColumn="1" w:lastColumn="0" w:noHBand="0" w:noVBand="1"/>
      </w:tblPr>
      <w:tblGrid>
        <w:gridCol w:w="3268"/>
        <w:gridCol w:w="3166"/>
        <w:gridCol w:w="3166"/>
      </w:tblGrid>
      <w:tr w:rsidR="00FB68F6" w:rsidRPr="00A0339B" w:rsidTr="00A0339B">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divId w:val="2041054423"/>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6A6A0F32" wp14:editId="01D5E8F1">
                  <wp:extent cx="1531620" cy="379730"/>
                  <wp:effectExtent l="0" t="0" r="0" b="1270"/>
                  <wp:docPr id="11" name="Рисунок 11" descr="https://rulaws.ru/static/Images/295007_0000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rulaws.ru/static/Images/295007_0000005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1620" cy="37973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06561369" wp14:editId="2F335CEB">
                  <wp:extent cx="1531620" cy="379730"/>
                  <wp:effectExtent l="0" t="0" r="0" b="1270"/>
                  <wp:docPr id="10" name="Рисунок 10" descr="https://rulaws.ru/static/Images/295007_00000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rulaws.ru/static/Images/295007_0000005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1620" cy="379730"/>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60806F90" wp14:editId="3A44CDDA">
                  <wp:extent cx="1531620" cy="379730"/>
                  <wp:effectExtent l="0" t="0" r="0" b="1270"/>
                  <wp:docPr id="9" name="Рисунок 9" descr="https://rulaws.ru/static/Images/295007_00000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rulaws.ru/static/Images/295007_0000005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1620" cy="379730"/>
                          </a:xfrm>
                          <a:prstGeom prst="rect">
                            <a:avLst/>
                          </a:prstGeom>
                          <a:noFill/>
                          <a:ln>
                            <a:noFill/>
                          </a:ln>
                        </pic:spPr>
                      </pic:pic>
                    </a:graphicData>
                  </a:graphic>
                </wp:inline>
              </w:drawing>
            </w:r>
          </w:p>
        </w:tc>
      </w:tr>
      <w:tr w:rsidR="00FB68F6" w:rsidRPr="00A0339B" w:rsidTr="00A0339B">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7C9A00F4" wp14:editId="3B238BE6">
                  <wp:extent cx="1828800" cy="391795"/>
                  <wp:effectExtent l="0" t="0" r="0" b="8255"/>
                  <wp:docPr id="8" name="Рисунок 8" descr="https://rulaws.ru/static/Images/295007_0000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rulaws.ru/static/Images/295007_0000005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39179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DBAC8C0" wp14:editId="61B4518E">
                  <wp:extent cx="1828800" cy="391795"/>
                  <wp:effectExtent l="0" t="0" r="0" b="8255"/>
                  <wp:docPr id="7" name="Рисунок 7" descr="https://rulaws.ru/static/Images/295007_00000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rulaws.ru/static/Images/295007_0000005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39179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DA98C53" wp14:editId="4C7940E4">
                  <wp:extent cx="1828800" cy="391795"/>
                  <wp:effectExtent l="0" t="0" r="0" b="8255"/>
                  <wp:docPr id="6" name="Рисунок 6" descr="https://rulaws.ru/static/Images/295007_00000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rulaws.ru/static/Images/295007_0000005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391795"/>
                          </a:xfrm>
                          <a:prstGeom prst="rect">
                            <a:avLst/>
                          </a:prstGeom>
                          <a:noFill/>
                          <a:ln>
                            <a:noFill/>
                          </a:ln>
                        </pic:spPr>
                      </pic:pic>
                    </a:graphicData>
                  </a:graphic>
                </wp:inline>
              </w:drawing>
            </w:r>
          </w:p>
        </w:tc>
      </w:tr>
    </w:tbl>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r w:rsidRPr="00A0339B">
        <w:rPr>
          <w:rFonts w:ascii="Times New Roman" w:eastAsia="Times New Roman" w:hAnsi="Times New Roman" w:cs="Times New Roman"/>
          <w:sz w:val="24"/>
          <w:szCs w:val="24"/>
          <w:lang w:val="en-US" w:eastAsia="ru-RU"/>
        </w:rPr>
        <w:t>I2.7 = 3.2.</w:t>
      </w:r>
      <w:proofErr w:type="gramStart"/>
      <w:r w:rsidRPr="00A0339B">
        <w:rPr>
          <w:rFonts w:ascii="Times New Roman" w:eastAsia="Times New Roman" w:hAnsi="Times New Roman" w:cs="Times New Roman"/>
          <w:sz w:val="24"/>
          <w:szCs w:val="24"/>
          <w:lang w:val="en-US" w:eastAsia="ru-RU"/>
        </w:rPr>
        <w:t>1.</w:t>
      </w:r>
      <w:proofErr w:type="spellStart"/>
      <w:r w:rsidRPr="00A0339B">
        <w:rPr>
          <w:rFonts w:ascii="Times New Roman" w:eastAsia="Times New Roman" w:hAnsi="Times New Roman" w:cs="Times New Roman"/>
          <w:sz w:val="24"/>
          <w:szCs w:val="24"/>
          <w:lang w:eastAsia="ru-RU"/>
        </w:rPr>
        <w:t>стр</w:t>
      </w:r>
      <w:proofErr w:type="spellEnd"/>
      <w:r w:rsidRPr="00A0339B">
        <w:rPr>
          <w:rFonts w:ascii="Times New Roman" w:eastAsia="Times New Roman" w:hAnsi="Times New Roman" w:cs="Times New Roman"/>
          <w:sz w:val="24"/>
          <w:szCs w:val="24"/>
          <w:lang w:val="en-US" w:eastAsia="ru-RU"/>
        </w:rPr>
        <w:t>.</w:t>
      </w:r>
      <w:proofErr w:type="gramEnd"/>
      <w:r w:rsidRPr="00A0339B">
        <w:rPr>
          <w:rFonts w:ascii="Times New Roman" w:eastAsia="Times New Roman" w:hAnsi="Times New Roman" w:cs="Times New Roman"/>
          <w:sz w:val="24"/>
          <w:szCs w:val="24"/>
          <w:lang w:val="en-US" w:eastAsia="ru-RU"/>
        </w:rPr>
        <w:t>02.</w:t>
      </w:r>
      <w:proofErr w:type="spellStart"/>
      <w:r w:rsidRPr="00A0339B">
        <w:rPr>
          <w:rFonts w:ascii="Times New Roman" w:eastAsia="Times New Roman" w:hAnsi="Times New Roman" w:cs="Times New Roman"/>
          <w:sz w:val="24"/>
          <w:szCs w:val="24"/>
          <w:lang w:eastAsia="ru-RU"/>
        </w:rPr>
        <w:t>гр</w:t>
      </w:r>
      <w:proofErr w:type="spellEnd"/>
      <w:r w:rsidRPr="00A0339B">
        <w:rPr>
          <w:rFonts w:ascii="Times New Roman" w:eastAsia="Times New Roman" w:hAnsi="Times New Roman" w:cs="Times New Roman"/>
          <w:sz w:val="24"/>
          <w:szCs w:val="24"/>
          <w:lang w:val="en-US" w:eastAsia="ru-RU"/>
        </w:rPr>
        <w:t>.3</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val="en-US" w:eastAsia="ru-RU"/>
        </w:rPr>
      </w:pPr>
      <w:r w:rsidRPr="00A0339B">
        <w:rPr>
          <w:rFonts w:ascii="Times New Roman" w:eastAsia="Times New Roman" w:hAnsi="Times New Roman" w:cs="Times New Roman"/>
          <w:sz w:val="24"/>
          <w:szCs w:val="24"/>
          <w:lang w:val="en-US" w:eastAsia="ru-RU"/>
        </w:rPr>
        <w:t>I2.11 = 3.2.</w:t>
      </w:r>
      <w:proofErr w:type="gramStart"/>
      <w:r w:rsidRPr="00A0339B">
        <w:rPr>
          <w:rFonts w:ascii="Times New Roman" w:eastAsia="Times New Roman" w:hAnsi="Times New Roman" w:cs="Times New Roman"/>
          <w:sz w:val="24"/>
          <w:szCs w:val="24"/>
          <w:lang w:val="en-US" w:eastAsia="ru-RU"/>
        </w:rPr>
        <w:t>6.</w:t>
      </w:r>
      <w:proofErr w:type="spellStart"/>
      <w:r w:rsidRPr="00A0339B">
        <w:rPr>
          <w:rFonts w:ascii="Times New Roman" w:eastAsia="Times New Roman" w:hAnsi="Times New Roman" w:cs="Times New Roman"/>
          <w:sz w:val="24"/>
          <w:szCs w:val="24"/>
          <w:lang w:eastAsia="ru-RU"/>
        </w:rPr>
        <w:t>стр</w:t>
      </w:r>
      <w:proofErr w:type="spellEnd"/>
      <w:r w:rsidRPr="00A0339B">
        <w:rPr>
          <w:rFonts w:ascii="Times New Roman" w:eastAsia="Times New Roman" w:hAnsi="Times New Roman" w:cs="Times New Roman"/>
          <w:sz w:val="24"/>
          <w:szCs w:val="24"/>
          <w:lang w:val="en-US" w:eastAsia="ru-RU"/>
        </w:rPr>
        <w:t>.</w:t>
      </w:r>
      <w:proofErr w:type="gramEnd"/>
      <w:r w:rsidRPr="00A0339B">
        <w:rPr>
          <w:rFonts w:ascii="Times New Roman" w:eastAsia="Times New Roman" w:hAnsi="Times New Roman" w:cs="Times New Roman"/>
          <w:sz w:val="24"/>
          <w:szCs w:val="24"/>
          <w:lang w:val="en-US" w:eastAsia="ru-RU"/>
        </w:rPr>
        <w:t>06</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I2.15 = 3.2.</w:t>
      </w:r>
      <w:proofErr w:type="gramStart"/>
      <w:r w:rsidRPr="00A0339B">
        <w:rPr>
          <w:rFonts w:ascii="Times New Roman" w:eastAsia="Times New Roman" w:hAnsi="Times New Roman" w:cs="Times New Roman"/>
          <w:sz w:val="24"/>
          <w:szCs w:val="24"/>
          <w:lang w:eastAsia="ru-RU"/>
        </w:rPr>
        <w:t>4.стр.</w:t>
      </w:r>
      <w:proofErr w:type="gramEnd"/>
      <w:r w:rsidRPr="00A0339B">
        <w:rPr>
          <w:rFonts w:ascii="Times New Roman" w:eastAsia="Times New Roman" w:hAnsi="Times New Roman" w:cs="Times New Roman"/>
          <w:sz w:val="24"/>
          <w:szCs w:val="24"/>
          <w:lang w:eastAsia="ru-RU"/>
        </w:rPr>
        <w:t>25</w:t>
      </w:r>
    </w:p>
    <w:tbl>
      <w:tblPr>
        <w:tblW w:w="9060" w:type="dxa"/>
        <w:shd w:val="clear" w:color="auto" w:fill="FFFFFF"/>
        <w:tblCellMar>
          <w:left w:w="0" w:type="dxa"/>
          <w:right w:w="0" w:type="dxa"/>
        </w:tblCellMar>
        <w:tblLook w:val="04A0" w:firstRow="1" w:lastRow="0" w:firstColumn="1" w:lastColumn="0" w:noHBand="0" w:noVBand="1"/>
      </w:tblPr>
      <w:tblGrid>
        <w:gridCol w:w="4650"/>
        <w:gridCol w:w="4410"/>
      </w:tblGrid>
      <w:tr w:rsidR="00FB68F6" w:rsidRPr="00A0339B" w:rsidTr="00A0339B">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I3.12 = 6.1.стр.10.гр.10</w:t>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I3.13 = 6.1.стр.10.гр.4</w:t>
            </w:r>
          </w:p>
        </w:tc>
      </w:tr>
    </w:tbl>
    <w:p w:rsidR="00A0339B" w:rsidRPr="00A0339B" w:rsidRDefault="00A0339B" w:rsidP="00FB68F6">
      <w:pPr>
        <w:spacing w:after="0" w:line="240" w:lineRule="auto"/>
        <w:rPr>
          <w:rFonts w:ascii="Times New Roman" w:eastAsia="Times New Roman" w:hAnsi="Times New Roman" w:cs="Times New Roman"/>
          <w:vanish/>
          <w:sz w:val="24"/>
          <w:szCs w:val="24"/>
          <w:lang w:eastAsia="ru-RU"/>
        </w:rPr>
      </w:pPr>
    </w:p>
    <w:tbl>
      <w:tblPr>
        <w:tblW w:w="12400" w:type="dxa"/>
        <w:shd w:val="clear" w:color="auto" w:fill="FFFFFF"/>
        <w:tblCellMar>
          <w:left w:w="0" w:type="dxa"/>
          <w:right w:w="0" w:type="dxa"/>
        </w:tblCellMar>
        <w:tblLook w:val="04A0" w:firstRow="1" w:lastRow="0" w:firstColumn="1" w:lastColumn="0" w:noHBand="0" w:noVBand="1"/>
      </w:tblPr>
      <w:tblGrid>
        <w:gridCol w:w="2858"/>
        <w:gridCol w:w="2304"/>
        <w:gridCol w:w="2424"/>
        <w:gridCol w:w="2424"/>
        <w:gridCol w:w="2390"/>
      </w:tblGrid>
      <w:tr w:rsidR="00FB68F6" w:rsidRPr="00A0339B" w:rsidTr="00A0339B">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divId w:val="314843948"/>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62BB4484" wp14:editId="4540660D">
                  <wp:extent cx="1353820" cy="391795"/>
                  <wp:effectExtent l="0" t="0" r="0" b="8255"/>
                  <wp:docPr id="5" name="Рисунок 5" descr="https://rulaws.ru/static/Images/295007_00000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rulaws.ru/static/Images/295007_0000008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3820" cy="39179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5297E25A" wp14:editId="27D38A89">
                  <wp:extent cx="1377315" cy="391795"/>
                  <wp:effectExtent l="0" t="0" r="0" b="8255"/>
                  <wp:docPr id="4" name="Рисунок 4" descr="https://rulaws.ru/static/Images/295007_00000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rulaws.ru/static/Images/295007_0000008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7315" cy="39179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79767C90" wp14:editId="51959580">
                  <wp:extent cx="1449070" cy="391795"/>
                  <wp:effectExtent l="0" t="0" r="0" b="8255"/>
                  <wp:docPr id="3" name="Рисунок 3" descr="https://rulaws.ru/static/Images/295007_00000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rulaws.ru/static/Images/295007_0000008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9070" cy="39179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72952CA2" wp14:editId="5FDE3A96">
                  <wp:extent cx="1449070" cy="391795"/>
                  <wp:effectExtent l="0" t="0" r="0" b="8255"/>
                  <wp:docPr id="2" name="Рисунок 2" descr="https://rulaws.ru/static/Images/295007_00000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rulaws.ru/static/Images/295007_0000008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9070" cy="391795"/>
                          </a:xfrm>
                          <a:prstGeom prst="rect">
                            <a:avLst/>
                          </a:prstGeom>
                          <a:noFill/>
                          <a:ln>
                            <a:noFill/>
                          </a:ln>
                        </pic:spPr>
                      </pic:pic>
                    </a:graphicData>
                  </a:graphic>
                </wp:inline>
              </w:drawing>
            </w:r>
          </w:p>
        </w:tc>
        <w:tc>
          <w:tcPr>
            <w:tcW w:w="0" w:type="auto"/>
            <w:tcBorders>
              <w:top w:val="nil"/>
              <w:left w:val="nil"/>
              <w:bottom w:val="nil"/>
              <w:right w:val="nil"/>
            </w:tcBorders>
            <w:shd w:val="clear" w:color="auto" w:fill="FFFFFF"/>
            <w:vAlign w:val="bottom"/>
            <w:hideMark/>
          </w:tcPr>
          <w:p w:rsidR="00A0339B" w:rsidRPr="00A0339B" w:rsidRDefault="00A0339B" w:rsidP="00FB68F6">
            <w:pPr>
              <w:spacing w:after="0" w:line="240" w:lineRule="auto"/>
              <w:jc w:val="both"/>
              <w:textAlignment w:val="baseline"/>
              <w:rPr>
                <w:rFonts w:ascii="Times New Roman" w:eastAsia="Times New Roman" w:hAnsi="Times New Roman" w:cs="Times New Roman"/>
                <w:sz w:val="24"/>
                <w:szCs w:val="24"/>
                <w:lang w:eastAsia="ru-RU"/>
              </w:rPr>
            </w:pPr>
            <w:r w:rsidRPr="00FB68F6">
              <w:rPr>
                <w:rFonts w:ascii="Times New Roman" w:eastAsia="Times New Roman" w:hAnsi="Times New Roman" w:cs="Times New Roman"/>
                <w:noProof/>
                <w:sz w:val="24"/>
                <w:szCs w:val="24"/>
                <w:lang w:eastAsia="ru-RU"/>
              </w:rPr>
              <w:drawing>
                <wp:inline distT="0" distB="0" distL="0" distR="0" wp14:anchorId="6B7A7085" wp14:editId="533B8AF6">
                  <wp:extent cx="1424940" cy="391795"/>
                  <wp:effectExtent l="0" t="0" r="3810" b="8255"/>
                  <wp:docPr id="1" name="Рисунок 1" descr="https://rulaws.ru/static/Images/295007_00000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rulaws.ru/static/Images/295007_0000008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4940" cy="391795"/>
                          </a:xfrm>
                          <a:prstGeom prst="rect">
                            <a:avLst/>
                          </a:prstGeom>
                          <a:noFill/>
                          <a:ln>
                            <a:noFill/>
                          </a:ln>
                        </pic:spPr>
                      </pic:pic>
                    </a:graphicData>
                  </a:graphic>
                </wp:inline>
              </w:drawing>
            </w:r>
          </w:p>
        </w:tc>
      </w:tr>
    </w:tbl>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I6.1 - расчеты по данным ПФР</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A0339B">
        <w:rPr>
          <w:rFonts w:ascii="Times New Roman" w:eastAsia="Times New Roman" w:hAnsi="Times New Roman" w:cs="Times New Roman"/>
          <w:sz w:val="24"/>
          <w:szCs w:val="24"/>
          <w:lang w:eastAsia="ru-RU"/>
        </w:rPr>
        <w:t>св.стр</w:t>
      </w:r>
      <w:proofErr w:type="spellEnd"/>
      <w:r w:rsidRPr="00A0339B">
        <w:rPr>
          <w:rFonts w:ascii="Times New Roman" w:eastAsia="Times New Roman" w:hAnsi="Times New Roman" w:cs="Times New Roman"/>
          <w:sz w:val="24"/>
          <w:szCs w:val="24"/>
          <w:lang w:eastAsia="ru-RU"/>
        </w:rPr>
        <w:t>. - свободные (множественные) строки</w:t>
      </w:r>
    </w:p>
    <w:p w:rsidR="00A0339B" w:rsidRPr="00A0339B" w:rsidRDefault="00A0339B" w:rsidP="00FB68F6">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0339B">
        <w:rPr>
          <w:rFonts w:ascii="Times New Roman" w:eastAsia="Times New Roman" w:hAnsi="Times New Roman" w:cs="Times New Roman"/>
          <w:sz w:val="24"/>
          <w:szCs w:val="24"/>
          <w:lang w:eastAsia="ru-RU"/>
        </w:rPr>
        <w:t>гр.[ставка] - графа таблицы, соответствующая доле ставки</w:t>
      </w:r>
    </w:p>
    <w:p w:rsidR="00417E90" w:rsidRPr="00FB68F6" w:rsidRDefault="00417E90" w:rsidP="00FB68F6">
      <w:pPr>
        <w:spacing w:after="0" w:line="240" w:lineRule="auto"/>
        <w:rPr>
          <w:rFonts w:ascii="Times New Roman" w:hAnsi="Times New Roman" w:cs="Times New Roman"/>
          <w:sz w:val="24"/>
          <w:szCs w:val="24"/>
        </w:rPr>
      </w:pPr>
    </w:p>
    <w:sectPr w:rsidR="00417E90" w:rsidRPr="00FB68F6" w:rsidSect="00A0339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39B"/>
    <w:rsid w:val="00417E90"/>
    <w:rsid w:val="00A0339B"/>
    <w:rsid w:val="00FB6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FD8800-8C91-4329-B5F9-5E8FBB689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
    <w:name w:val="pr"/>
    <w:basedOn w:val="a"/>
    <w:rsid w:val="00A03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A03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A03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A033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524980">
      <w:bodyDiv w:val="1"/>
      <w:marLeft w:val="0"/>
      <w:marRight w:val="0"/>
      <w:marTop w:val="0"/>
      <w:marBottom w:val="0"/>
      <w:divBdr>
        <w:top w:val="none" w:sz="0" w:space="0" w:color="auto"/>
        <w:left w:val="none" w:sz="0" w:space="0" w:color="auto"/>
        <w:bottom w:val="none" w:sz="0" w:space="0" w:color="auto"/>
        <w:right w:val="none" w:sz="0" w:space="0" w:color="auto"/>
      </w:divBdr>
      <w:divsChild>
        <w:div w:id="354692399">
          <w:marLeft w:val="0"/>
          <w:marRight w:val="0"/>
          <w:marTop w:val="0"/>
          <w:marBottom w:val="0"/>
          <w:divBdr>
            <w:top w:val="none" w:sz="0" w:space="0" w:color="auto"/>
            <w:left w:val="none" w:sz="0" w:space="0" w:color="auto"/>
            <w:bottom w:val="none" w:sz="0" w:space="0" w:color="auto"/>
            <w:right w:val="none" w:sz="0" w:space="0" w:color="auto"/>
          </w:divBdr>
        </w:div>
        <w:div w:id="2040427686">
          <w:marLeft w:val="0"/>
          <w:marRight w:val="0"/>
          <w:marTop w:val="0"/>
          <w:marBottom w:val="0"/>
          <w:divBdr>
            <w:top w:val="none" w:sz="0" w:space="0" w:color="auto"/>
            <w:left w:val="none" w:sz="0" w:space="0" w:color="auto"/>
            <w:bottom w:val="none" w:sz="0" w:space="0" w:color="auto"/>
            <w:right w:val="none" w:sz="0" w:space="0" w:color="auto"/>
          </w:divBdr>
        </w:div>
        <w:div w:id="788471669">
          <w:marLeft w:val="0"/>
          <w:marRight w:val="0"/>
          <w:marTop w:val="0"/>
          <w:marBottom w:val="0"/>
          <w:divBdr>
            <w:top w:val="none" w:sz="0" w:space="0" w:color="auto"/>
            <w:left w:val="none" w:sz="0" w:space="0" w:color="auto"/>
            <w:bottom w:val="none" w:sz="0" w:space="0" w:color="auto"/>
            <w:right w:val="none" w:sz="0" w:space="0" w:color="auto"/>
          </w:divBdr>
        </w:div>
        <w:div w:id="1661687870">
          <w:marLeft w:val="0"/>
          <w:marRight w:val="0"/>
          <w:marTop w:val="0"/>
          <w:marBottom w:val="0"/>
          <w:divBdr>
            <w:top w:val="none" w:sz="0" w:space="0" w:color="auto"/>
            <w:left w:val="none" w:sz="0" w:space="0" w:color="auto"/>
            <w:bottom w:val="none" w:sz="0" w:space="0" w:color="auto"/>
            <w:right w:val="none" w:sz="0" w:space="0" w:color="auto"/>
          </w:divBdr>
        </w:div>
        <w:div w:id="1704476009">
          <w:marLeft w:val="0"/>
          <w:marRight w:val="0"/>
          <w:marTop w:val="0"/>
          <w:marBottom w:val="0"/>
          <w:divBdr>
            <w:top w:val="none" w:sz="0" w:space="0" w:color="auto"/>
            <w:left w:val="none" w:sz="0" w:space="0" w:color="auto"/>
            <w:bottom w:val="none" w:sz="0" w:space="0" w:color="auto"/>
            <w:right w:val="none" w:sz="0" w:space="0" w:color="auto"/>
          </w:divBdr>
        </w:div>
        <w:div w:id="243682474">
          <w:marLeft w:val="0"/>
          <w:marRight w:val="0"/>
          <w:marTop w:val="0"/>
          <w:marBottom w:val="0"/>
          <w:divBdr>
            <w:top w:val="none" w:sz="0" w:space="0" w:color="auto"/>
            <w:left w:val="none" w:sz="0" w:space="0" w:color="auto"/>
            <w:bottom w:val="none" w:sz="0" w:space="0" w:color="auto"/>
            <w:right w:val="none" w:sz="0" w:space="0" w:color="auto"/>
          </w:divBdr>
        </w:div>
        <w:div w:id="963728757">
          <w:marLeft w:val="0"/>
          <w:marRight w:val="0"/>
          <w:marTop w:val="0"/>
          <w:marBottom w:val="0"/>
          <w:divBdr>
            <w:top w:val="none" w:sz="0" w:space="0" w:color="auto"/>
            <w:left w:val="none" w:sz="0" w:space="0" w:color="auto"/>
            <w:bottom w:val="none" w:sz="0" w:space="0" w:color="auto"/>
            <w:right w:val="none" w:sz="0" w:space="0" w:color="auto"/>
          </w:divBdr>
        </w:div>
        <w:div w:id="2083797394">
          <w:marLeft w:val="0"/>
          <w:marRight w:val="0"/>
          <w:marTop w:val="0"/>
          <w:marBottom w:val="0"/>
          <w:divBdr>
            <w:top w:val="none" w:sz="0" w:space="0" w:color="auto"/>
            <w:left w:val="none" w:sz="0" w:space="0" w:color="auto"/>
            <w:bottom w:val="none" w:sz="0" w:space="0" w:color="auto"/>
            <w:right w:val="none" w:sz="0" w:space="0" w:color="auto"/>
          </w:divBdr>
        </w:div>
        <w:div w:id="787043342">
          <w:marLeft w:val="0"/>
          <w:marRight w:val="0"/>
          <w:marTop w:val="0"/>
          <w:marBottom w:val="0"/>
          <w:divBdr>
            <w:top w:val="none" w:sz="0" w:space="0" w:color="auto"/>
            <w:left w:val="none" w:sz="0" w:space="0" w:color="auto"/>
            <w:bottom w:val="none" w:sz="0" w:space="0" w:color="auto"/>
            <w:right w:val="none" w:sz="0" w:space="0" w:color="auto"/>
          </w:divBdr>
        </w:div>
        <w:div w:id="1342272076">
          <w:marLeft w:val="0"/>
          <w:marRight w:val="0"/>
          <w:marTop w:val="0"/>
          <w:marBottom w:val="0"/>
          <w:divBdr>
            <w:top w:val="none" w:sz="0" w:space="0" w:color="auto"/>
            <w:left w:val="none" w:sz="0" w:space="0" w:color="auto"/>
            <w:bottom w:val="none" w:sz="0" w:space="0" w:color="auto"/>
            <w:right w:val="none" w:sz="0" w:space="0" w:color="auto"/>
          </w:divBdr>
        </w:div>
        <w:div w:id="1789352983">
          <w:marLeft w:val="0"/>
          <w:marRight w:val="0"/>
          <w:marTop w:val="0"/>
          <w:marBottom w:val="0"/>
          <w:divBdr>
            <w:top w:val="none" w:sz="0" w:space="0" w:color="auto"/>
            <w:left w:val="none" w:sz="0" w:space="0" w:color="auto"/>
            <w:bottom w:val="none" w:sz="0" w:space="0" w:color="auto"/>
            <w:right w:val="none" w:sz="0" w:space="0" w:color="auto"/>
          </w:divBdr>
        </w:div>
        <w:div w:id="94904742">
          <w:marLeft w:val="0"/>
          <w:marRight w:val="0"/>
          <w:marTop w:val="0"/>
          <w:marBottom w:val="0"/>
          <w:divBdr>
            <w:top w:val="none" w:sz="0" w:space="0" w:color="auto"/>
            <w:left w:val="none" w:sz="0" w:space="0" w:color="auto"/>
            <w:bottom w:val="none" w:sz="0" w:space="0" w:color="auto"/>
            <w:right w:val="none" w:sz="0" w:space="0" w:color="auto"/>
          </w:divBdr>
        </w:div>
        <w:div w:id="1238052481">
          <w:marLeft w:val="0"/>
          <w:marRight w:val="0"/>
          <w:marTop w:val="0"/>
          <w:marBottom w:val="199"/>
          <w:divBdr>
            <w:top w:val="none" w:sz="0" w:space="0" w:color="auto"/>
            <w:left w:val="none" w:sz="0" w:space="0" w:color="auto"/>
            <w:bottom w:val="none" w:sz="0" w:space="0" w:color="auto"/>
            <w:right w:val="none" w:sz="0" w:space="0" w:color="auto"/>
          </w:divBdr>
          <w:divsChild>
            <w:div w:id="2103597855">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560603095">
          <w:marLeft w:val="0"/>
          <w:marRight w:val="0"/>
          <w:marTop w:val="0"/>
          <w:marBottom w:val="0"/>
          <w:divBdr>
            <w:top w:val="none" w:sz="0" w:space="0" w:color="auto"/>
            <w:left w:val="none" w:sz="0" w:space="0" w:color="auto"/>
            <w:bottom w:val="none" w:sz="0" w:space="0" w:color="auto"/>
            <w:right w:val="none" w:sz="0" w:space="0" w:color="auto"/>
          </w:divBdr>
        </w:div>
        <w:div w:id="392393637">
          <w:marLeft w:val="0"/>
          <w:marRight w:val="0"/>
          <w:marTop w:val="0"/>
          <w:marBottom w:val="0"/>
          <w:divBdr>
            <w:top w:val="none" w:sz="0" w:space="0" w:color="auto"/>
            <w:left w:val="none" w:sz="0" w:space="0" w:color="auto"/>
            <w:bottom w:val="none" w:sz="0" w:space="0" w:color="auto"/>
            <w:right w:val="none" w:sz="0" w:space="0" w:color="auto"/>
          </w:divBdr>
        </w:div>
        <w:div w:id="882333169">
          <w:marLeft w:val="0"/>
          <w:marRight w:val="0"/>
          <w:marTop w:val="0"/>
          <w:marBottom w:val="0"/>
          <w:divBdr>
            <w:top w:val="none" w:sz="0" w:space="0" w:color="auto"/>
            <w:left w:val="none" w:sz="0" w:space="0" w:color="auto"/>
            <w:bottom w:val="none" w:sz="0" w:space="0" w:color="auto"/>
            <w:right w:val="none" w:sz="0" w:space="0" w:color="auto"/>
          </w:divBdr>
        </w:div>
        <w:div w:id="326253511">
          <w:marLeft w:val="0"/>
          <w:marRight w:val="0"/>
          <w:marTop w:val="0"/>
          <w:marBottom w:val="0"/>
          <w:divBdr>
            <w:top w:val="none" w:sz="0" w:space="0" w:color="auto"/>
            <w:left w:val="none" w:sz="0" w:space="0" w:color="auto"/>
            <w:bottom w:val="none" w:sz="0" w:space="0" w:color="auto"/>
            <w:right w:val="none" w:sz="0" w:space="0" w:color="auto"/>
          </w:divBdr>
        </w:div>
        <w:div w:id="1242136551">
          <w:marLeft w:val="0"/>
          <w:marRight w:val="0"/>
          <w:marTop w:val="0"/>
          <w:marBottom w:val="0"/>
          <w:divBdr>
            <w:top w:val="none" w:sz="0" w:space="0" w:color="auto"/>
            <w:left w:val="none" w:sz="0" w:space="0" w:color="auto"/>
            <w:bottom w:val="none" w:sz="0" w:space="0" w:color="auto"/>
            <w:right w:val="none" w:sz="0" w:space="0" w:color="auto"/>
          </w:divBdr>
        </w:div>
        <w:div w:id="1933588094">
          <w:marLeft w:val="0"/>
          <w:marRight w:val="0"/>
          <w:marTop w:val="0"/>
          <w:marBottom w:val="0"/>
          <w:divBdr>
            <w:top w:val="none" w:sz="0" w:space="0" w:color="auto"/>
            <w:left w:val="none" w:sz="0" w:space="0" w:color="auto"/>
            <w:bottom w:val="none" w:sz="0" w:space="0" w:color="auto"/>
            <w:right w:val="none" w:sz="0" w:space="0" w:color="auto"/>
          </w:divBdr>
        </w:div>
        <w:div w:id="1305623910">
          <w:marLeft w:val="0"/>
          <w:marRight w:val="0"/>
          <w:marTop w:val="0"/>
          <w:marBottom w:val="199"/>
          <w:divBdr>
            <w:top w:val="none" w:sz="0" w:space="0" w:color="auto"/>
            <w:left w:val="none" w:sz="0" w:space="0" w:color="auto"/>
            <w:bottom w:val="none" w:sz="0" w:space="0" w:color="auto"/>
            <w:right w:val="none" w:sz="0" w:space="0" w:color="auto"/>
          </w:divBdr>
          <w:divsChild>
            <w:div w:id="261647523">
              <w:marLeft w:val="0"/>
              <w:marRight w:val="0"/>
              <w:marTop w:val="0"/>
              <w:marBottom w:val="0"/>
              <w:divBdr>
                <w:top w:val="none" w:sz="0" w:space="0" w:color="auto"/>
                <w:left w:val="none" w:sz="0" w:space="0" w:color="auto"/>
                <w:bottom w:val="none" w:sz="0" w:space="0" w:color="auto"/>
                <w:right w:val="none" w:sz="0" w:space="0" w:color="auto"/>
              </w:divBdr>
            </w:div>
          </w:divsChild>
        </w:div>
        <w:div w:id="933130505">
          <w:marLeft w:val="0"/>
          <w:marRight w:val="0"/>
          <w:marTop w:val="0"/>
          <w:marBottom w:val="199"/>
          <w:divBdr>
            <w:top w:val="none" w:sz="0" w:space="0" w:color="auto"/>
            <w:left w:val="none" w:sz="0" w:space="0" w:color="auto"/>
            <w:bottom w:val="none" w:sz="0" w:space="0" w:color="auto"/>
            <w:right w:val="none" w:sz="0" w:space="0" w:color="auto"/>
          </w:divBdr>
          <w:divsChild>
            <w:div w:id="378631861">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59064940">
          <w:marLeft w:val="0"/>
          <w:marRight w:val="0"/>
          <w:marTop w:val="0"/>
          <w:marBottom w:val="199"/>
          <w:divBdr>
            <w:top w:val="none" w:sz="0" w:space="0" w:color="auto"/>
            <w:left w:val="none" w:sz="0" w:space="0" w:color="auto"/>
            <w:bottom w:val="none" w:sz="0" w:space="0" w:color="auto"/>
            <w:right w:val="none" w:sz="0" w:space="0" w:color="auto"/>
          </w:divBdr>
          <w:divsChild>
            <w:div w:id="527839005">
              <w:marLeft w:val="0"/>
              <w:marRight w:val="0"/>
              <w:marTop w:val="0"/>
              <w:marBottom w:val="0"/>
              <w:divBdr>
                <w:top w:val="none" w:sz="0" w:space="0" w:color="auto"/>
                <w:left w:val="none" w:sz="0" w:space="0" w:color="auto"/>
                <w:bottom w:val="none" w:sz="0" w:space="0" w:color="auto"/>
                <w:right w:val="none" w:sz="0" w:space="0" w:color="auto"/>
              </w:divBdr>
            </w:div>
          </w:divsChild>
        </w:div>
        <w:div w:id="1506945085">
          <w:marLeft w:val="0"/>
          <w:marRight w:val="0"/>
          <w:marTop w:val="0"/>
          <w:marBottom w:val="199"/>
          <w:divBdr>
            <w:top w:val="none" w:sz="0" w:space="0" w:color="auto"/>
            <w:left w:val="none" w:sz="0" w:space="0" w:color="auto"/>
            <w:bottom w:val="none" w:sz="0" w:space="0" w:color="auto"/>
            <w:right w:val="none" w:sz="0" w:space="0" w:color="auto"/>
          </w:divBdr>
          <w:divsChild>
            <w:div w:id="1217669158">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2041054423">
          <w:marLeft w:val="560"/>
          <w:marRight w:val="0"/>
          <w:marTop w:val="0"/>
          <w:marBottom w:val="0"/>
          <w:divBdr>
            <w:top w:val="none" w:sz="0" w:space="0" w:color="auto"/>
            <w:left w:val="none" w:sz="0" w:space="0" w:color="auto"/>
            <w:bottom w:val="none" w:sz="0" w:space="0" w:color="auto"/>
            <w:right w:val="none" w:sz="0" w:space="0" w:color="auto"/>
          </w:divBdr>
        </w:div>
        <w:div w:id="676537624">
          <w:marLeft w:val="560"/>
          <w:marRight w:val="0"/>
          <w:marTop w:val="0"/>
          <w:marBottom w:val="0"/>
          <w:divBdr>
            <w:top w:val="none" w:sz="0" w:space="0" w:color="auto"/>
            <w:left w:val="none" w:sz="0" w:space="0" w:color="auto"/>
            <w:bottom w:val="none" w:sz="0" w:space="0" w:color="auto"/>
            <w:right w:val="none" w:sz="0" w:space="0" w:color="auto"/>
          </w:divBdr>
        </w:div>
        <w:div w:id="314843948">
          <w:marLeft w:val="5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4.png"/><Relationship Id="rId12" Type="http://schemas.openxmlformats.org/officeDocument/2006/relationships/hyperlink" Target="https://ads.adfox.ru/309777/clickURL?ad-session-id=3138211636942079173&amp;hash=36fa4ef344c81c01&amp;sj=9Ecz2HZW49TCbcy6611dZWWpQbjldscF3Hp0cuTzqZNeeohcxpqId1X7m8nF&amp;rand=izzjsui&amp;rqs=ZwSV9z06lQP5wJFh3dCVzmcnfXw0TbET&amp;pr=ecrkksg&amp;p1=cltby&amp;ytt=296868139763733&amp;p5=ihord&amp;ybv=0.48668&amp;p2=gxbl&amp;ylv=0.48668&amp;pf=https%3A%2F%2Flogin.consultant.ru%2Fdemo-access%2F%3Futm_campaign%3Ddemo-access%26utm_source%3Drulawsru%26utm_medium%3Dbanner%26utm_content%3Dregistration%26utm_term%3Dinsidetext" TargetMode="External"/><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gif"/><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hyperlink" Target="https://ads.adfox.ru/309777/clickURL?ad-session-id=3138211636942079173&amp;hash=ebcb401efffaf8f6&amp;sj=f-jgaySVmlb7uDGWjDOf2M5k0ierqiSSwkvQuZTo5NhVg-l0y1Stbkt4Qew3&amp;rand=kgawmbo&amp;rqs=ZwSV9z06lQP5wJFhXCz7b-4qRwl3pEMw&amp;pr=ecrkksg&amp;p1=cltbv&amp;ytt=296868139763733&amp;p5=ihoph&amp;ybv=0.48668&amp;p2=gxbi&amp;ylv=0.48668&amp;pf=https%3A%2F%2Flogin.consultant.ru%2Fdemo-access%2F%3Futm_campaign%3Ddemo-access%26utm_source%3Drulawsru%26utm_medium%3Dbanner%26utm_content%3Dregistration%26utm_term%3Dinsidetext" TargetMode="External"/><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22</Pages>
  <Words>6555</Words>
  <Characters>37369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dc:creator>
  <cp:keywords/>
  <dc:description/>
  <cp:lastModifiedBy>econom</cp:lastModifiedBy>
  <cp:revision>2</cp:revision>
  <dcterms:created xsi:type="dcterms:W3CDTF">2021-11-15T02:26:00Z</dcterms:created>
  <dcterms:modified xsi:type="dcterms:W3CDTF">2021-11-15T02:37:00Z</dcterms:modified>
</cp:coreProperties>
</file>